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54B6A" w14:textId="4C189F5C" w:rsidR="00ED4E23" w:rsidRPr="00BD1837" w:rsidRDefault="00ED4E23" w:rsidP="00ED4E23">
      <w:pPr>
        <w:pStyle w:val="a3"/>
        <w:ind w:left="0"/>
        <w:contextualSpacing/>
        <w:rPr>
          <w:color w:val="000000"/>
          <w:lang w:val="uk-UA"/>
        </w:rPr>
      </w:pPr>
      <w:bookmarkStart w:id="0" w:name="_GoBack"/>
      <w:bookmarkEnd w:id="0"/>
      <w:r w:rsidRPr="00BD1837">
        <w:rPr>
          <w:color w:val="000000"/>
          <w:lang w:val="uk-UA"/>
        </w:rPr>
        <w:t>Вих.№</w:t>
      </w:r>
      <w:r w:rsidRPr="00BD1837">
        <w:rPr>
          <w:lang w:val="uk-UA"/>
        </w:rPr>
        <w:t xml:space="preserve"> </w:t>
      </w:r>
      <w:r w:rsidR="00F44D8E" w:rsidRPr="00BD1837">
        <w:rPr>
          <w:color w:val="000000"/>
          <w:lang w:val="uk-UA"/>
        </w:rPr>
        <w:t>01/06-19</w:t>
      </w:r>
    </w:p>
    <w:p w14:paraId="40A54B6B" w14:textId="531832D9" w:rsidR="00ED4E23" w:rsidRPr="00BD1837" w:rsidRDefault="00ED4E23" w:rsidP="00ED4E23">
      <w:pPr>
        <w:pStyle w:val="a3"/>
        <w:ind w:left="0"/>
        <w:contextualSpacing/>
        <w:rPr>
          <w:color w:val="000000"/>
          <w:lang w:val="uk-UA"/>
        </w:rPr>
      </w:pPr>
      <w:r w:rsidRPr="00BD1837">
        <w:rPr>
          <w:color w:val="000000"/>
          <w:lang w:val="uk-UA"/>
        </w:rPr>
        <w:t xml:space="preserve">від </w:t>
      </w:r>
      <w:r w:rsidR="00200153" w:rsidRPr="00BD1837">
        <w:rPr>
          <w:color w:val="000000"/>
          <w:lang w:val="uk-UA"/>
        </w:rPr>
        <w:t>26</w:t>
      </w:r>
      <w:r w:rsidRPr="00BD1837">
        <w:rPr>
          <w:color w:val="000000"/>
          <w:lang w:val="uk-UA"/>
        </w:rPr>
        <w:t>.0</w:t>
      </w:r>
      <w:r w:rsidR="00A64220" w:rsidRPr="00BD1837">
        <w:rPr>
          <w:color w:val="000000"/>
          <w:lang w:val="uk-UA"/>
        </w:rPr>
        <w:t>6</w:t>
      </w:r>
      <w:r w:rsidRPr="00BD1837">
        <w:rPr>
          <w:color w:val="000000"/>
          <w:lang w:val="uk-UA"/>
        </w:rPr>
        <w:t>.2019</w:t>
      </w:r>
    </w:p>
    <w:p w14:paraId="40A54B6D" w14:textId="77777777" w:rsidR="00ED4E23" w:rsidRPr="00BD1837" w:rsidRDefault="00ED4E23" w:rsidP="00ED4E23">
      <w:pPr>
        <w:pStyle w:val="a3"/>
        <w:ind w:left="0"/>
        <w:contextualSpacing/>
        <w:rPr>
          <w:color w:val="000000"/>
          <w:lang w:val="uk-UA"/>
        </w:rPr>
      </w:pPr>
    </w:p>
    <w:p w14:paraId="40A54B6E" w14:textId="0044BAB1" w:rsidR="00B3442C" w:rsidRPr="00BD1837" w:rsidRDefault="00B3442C" w:rsidP="00082749">
      <w:pPr>
        <w:pStyle w:val="a3"/>
        <w:ind w:left="0"/>
        <w:contextualSpacing/>
        <w:jc w:val="center"/>
        <w:rPr>
          <w:b/>
          <w:color w:val="000000"/>
          <w:lang w:val="uk-UA"/>
        </w:rPr>
      </w:pPr>
      <w:r w:rsidRPr="00BD1837">
        <w:rPr>
          <w:b/>
          <w:color w:val="000000"/>
          <w:lang w:val="uk-UA"/>
        </w:rPr>
        <w:t>АКЦІОНЕРНЕ ТОВАРИСТВО «</w:t>
      </w:r>
      <w:r w:rsidR="00F44D8E" w:rsidRPr="00BD1837">
        <w:rPr>
          <w:b/>
          <w:lang w:val="uk-UA"/>
        </w:rPr>
        <w:t>ОДЕСАОБЛЕНЕРГО</w:t>
      </w:r>
      <w:r w:rsidRPr="00BD1837">
        <w:rPr>
          <w:b/>
          <w:color w:val="000000"/>
          <w:lang w:val="uk-UA"/>
        </w:rPr>
        <w:t>»</w:t>
      </w:r>
    </w:p>
    <w:p w14:paraId="40A54B6F" w14:textId="194CA724" w:rsidR="00B3442C" w:rsidRPr="00BD1837" w:rsidRDefault="00B3442C" w:rsidP="00082749">
      <w:pPr>
        <w:autoSpaceDE w:val="0"/>
        <w:autoSpaceDN w:val="0"/>
        <w:adjustRightInd w:val="0"/>
        <w:jc w:val="center"/>
        <w:rPr>
          <w:b/>
        </w:rPr>
      </w:pPr>
      <w:r w:rsidRPr="00BD1837">
        <w:rPr>
          <w:b/>
        </w:rPr>
        <w:t xml:space="preserve">Місцезнаходження: </w:t>
      </w:r>
      <w:r w:rsidR="00F44D8E" w:rsidRPr="00BD1837">
        <w:rPr>
          <w:b/>
        </w:rPr>
        <w:t>65031, Одеська обл., місто Одеса, Малиновський район, вулиця Миколи Боровського, будинок 28 "Б"</w:t>
      </w:r>
    </w:p>
    <w:p w14:paraId="40A54B70" w14:textId="6028EECF" w:rsidR="00B3442C" w:rsidRPr="00BD1837" w:rsidRDefault="00B3442C" w:rsidP="00082749">
      <w:pPr>
        <w:autoSpaceDE w:val="0"/>
        <w:autoSpaceDN w:val="0"/>
        <w:adjustRightInd w:val="0"/>
        <w:jc w:val="center"/>
        <w:rPr>
          <w:b/>
        </w:rPr>
      </w:pPr>
      <w:r w:rsidRPr="00BD1837">
        <w:rPr>
          <w:b/>
        </w:rPr>
        <w:t xml:space="preserve">ідентифікаційний код юридичної особи </w:t>
      </w:r>
      <w:r w:rsidR="00F44D8E" w:rsidRPr="00BD1837">
        <w:rPr>
          <w:b/>
        </w:rPr>
        <w:t>00131713</w:t>
      </w:r>
    </w:p>
    <w:p w14:paraId="40A54B71" w14:textId="77F251F1" w:rsidR="00B3442C" w:rsidRPr="00BD1837" w:rsidRDefault="00B3442C" w:rsidP="00082749">
      <w:pPr>
        <w:pStyle w:val="a3"/>
        <w:ind w:left="0"/>
        <w:contextualSpacing/>
        <w:jc w:val="center"/>
        <w:rPr>
          <w:b/>
          <w:color w:val="000000"/>
          <w:lang w:val="uk-UA"/>
        </w:rPr>
      </w:pPr>
      <w:r w:rsidRPr="00BD1837">
        <w:rPr>
          <w:b/>
          <w:color w:val="000000"/>
          <w:lang w:val="uk-UA"/>
        </w:rPr>
        <w:t xml:space="preserve">(далі також «Товариство» або </w:t>
      </w:r>
      <w:r w:rsidR="00082749" w:rsidRPr="00BD1837">
        <w:rPr>
          <w:b/>
          <w:color w:val="000000"/>
          <w:lang w:val="uk-UA"/>
        </w:rPr>
        <w:t>АТ «</w:t>
      </w:r>
      <w:r w:rsidR="00F44D8E" w:rsidRPr="00BD1837">
        <w:rPr>
          <w:b/>
          <w:color w:val="000000"/>
          <w:lang w:val="uk-UA"/>
        </w:rPr>
        <w:t>ОДЕСАОБЛЕНЕРГО</w:t>
      </w:r>
      <w:r w:rsidR="00082749" w:rsidRPr="00BD1837">
        <w:rPr>
          <w:b/>
          <w:color w:val="000000"/>
          <w:lang w:val="uk-UA"/>
        </w:rPr>
        <w:t>»</w:t>
      </w:r>
      <w:r w:rsidRPr="00BD1837">
        <w:rPr>
          <w:b/>
          <w:color w:val="000000"/>
          <w:lang w:val="uk-UA"/>
        </w:rPr>
        <w:t>)</w:t>
      </w:r>
    </w:p>
    <w:p w14:paraId="40A54B72" w14:textId="77777777" w:rsidR="00B3442C" w:rsidRPr="00BD1837" w:rsidRDefault="00B3442C" w:rsidP="00B3442C">
      <w:pPr>
        <w:pStyle w:val="a3"/>
        <w:ind w:left="0"/>
        <w:rPr>
          <w:b/>
          <w:lang w:val="uk-UA"/>
        </w:rPr>
      </w:pPr>
    </w:p>
    <w:p w14:paraId="40A54B73" w14:textId="093F3B7F" w:rsidR="00B3442C" w:rsidRPr="00BD1837" w:rsidRDefault="00B3442C" w:rsidP="00B3442C">
      <w:pPr>
        <w:pStyle w:val="a3"/>
        <w:ind w:left="0"/>
        <w:jc w:val="center"/>
        <w:rPr>
          <w:b/>
          <w:spacing w:val="-6"/>
          <w:lang w:val="uk-UA"/>
        </w:rPr>
      </w:pPr>
      <w:r w:rsidRPr="00BD1837">
        <w:rPr>
          <w:b/>
          <w:lang w:val="uk-UA"/>
        </w:rPr>
        <w:t xml:space="preserve">повідомляє про те, що </w:t>
      </w:r>
      <w:r w:rsidR="00F44D8E" w:rsidRPr="00BD1837">
        <w:rPr>
          <w:b/>
          <w:spacing w:val="-6"/>
          <w:lang w:val="uk-UA"/>
        </w:rPr>
        <w:t>31</w:t>
      </w:r>
      <w:r w:rsidRPr="00BD1837">
        <w:rPr>
          <w:b/>
          <w:spacing w:val="-6"/>
          <w:lang w:val="uk-UA"/>
        </w:rPr>
        <w:t xml:space="preserve"> </w:t>
      </w:r>
      <w:r w:rsidR="00825550" w:rsidRPr="00BD1837">
        <w:rPr>
          <w:b/>
          <w:spacing w:val="-6"/>
          <w:lang w:val="uk-UA"/>
        </w:rPr>
        <w:t>липня</w:t>
      </w:r>
      <w:r w:rsidRPr="00BD1837">
        <w:rPr>
          <w:b/>
          <w:spacing w:val="-6"/>
          <w:lang w:val="uk-UA"/>
        </w:rPr>
        <w:t xml:space="preserve"> 2019 року </w:t>
      </w:r>
      <w:r w:rsidR="00082749" w:rsidRPr="00BD1837">
        <w:rPr>
          <w:b/>
          <w:spacing w:val="-6"/>
          <w:lang w:val="uk-UA"/>
        </w:rPr>
        <w:t>о</w:t>
      </w:r>
      <w:r w:rsidRPr="00BD1837">
        <w:rPr>
          <w:b/>
          <w:spacing w:val="-6"/>
          <w:lang w:val="uk-UA"/>
        </w:rPr>
        <w:t xml:space="preserve"> 1</w:t>
      </w:r>
      <w:r w:rsidR="00082749" w:rsidRPr="00BD1837">
        <w:rPr>
          <w:b/>
          <w:spacing w:val="-6"/>
          <w:lang w:val="uk-UA"/>
        </w:rPr>
        <w:t>0</w:t>
      </w:r>
      <w:r w:rsidRPr="00BD1837">
        <w:rPr>
          <w:b/>
          <w:spacing w:val="-6"/>
          <w:lang w:val="uk-UA"/>
        </w:rPr>
        <w:t xml:space="preserve"> год. </w:t>
      </w:r>
      <w:r w:rsidR="00F44D8E" w:rsidRPr="00BD1837">
        <w:rPr>
          <w:b/>
          <w:spacing w:val="-6"/>
          <w:lang w:val="uk-UA"/>
        </w:rPr>
        <w:t>15</w:t>
      </w:r>
      <w:r w:rsidRPr="00BD1837">
        <w:rPr>
          <w:b/>
          <w:spacing w:val="-6"/>
          <w:lang w:val="uk-UA"/>
        </w:rPr>
        <w:t xml:space="preserve"> хв. за адресою: </w:t>
      </w:r>
      <w:r w:rsidR="00F44D8E" w:rsidRPr="00BD1837">
        <w:rPr>
          <w:b/>
          <w:spacing w:val="-6"/>
          <w:lang w:val="uk-UA"/>
        </w:rPr>
        <w:t>65031, Одеська обл., місто Одеса, Малиновський район, вулиця Миколи Боровського, будинок 28 "Б", 4-й поверх, кімната 409</w:t>
      </w:r>
    </w:p>
    <w:p w14:paraId="30D584FA" w14:textId="6AFB8962" w:rsidR="00C81D3B" w:rsidRPr="00BD1837" w:rsidRDefault="00C81D3B" w:rsidP="00AD49D2">
      <w:pPr>
        <w:rPr>
          <w:b/>
        </w:rPr>
      </w:pPr>
    </w:p>
    <w:p w14:paraId="40A54B75" w14:textId="28E78A21" w:rsidR="00B3442C" w:rsidRPr="00BD1837" w:rsidRDefault="00B3442C" w:rsidP="00B3442C">
      <w:pPr>
        <w:pStyle w:val="a3"/>
        <w:ind w:left="0"/>
        <w:jc w:val="center"/>
        <w:rPr>
          <w:b/>
          <w:color w:val="000000"/>
          <w:lang w:val="uk-UA"/>
        </w:rPr>
      </w:pPr>
      <w:r w:rsidRPr="00BD1837">
        <w:rPr>
          <w:b/>
          <w:color w:val="000000"/>
          <w:lang w:val="uk-UA"/>
        </w:rPr>
        <w:t xml:space="preserve">відбудуться </w:t>
      </w:r>
      <w:r w:rsidR="007F1A67" w:rsidRPr="00BD1837">
        <w:rPr>
          <w:b/>
          <w:color w:val="000000"/>
          <w:lang w:val="uk-UA"/>
        </w:rPr>
        <w:t>позачергові</w:t>
      </w:r>
      <w:r w:rsidRPr="00BD1837">
        <w:rPr>
          <w:b/>
          <w:color w:val="000000"/>
          <w:lang w:val="uk-UA"/>
        </w:rPr>
        <w:t xml:space="preserve"> Загальні збори Товариства.</w:t>
      </w:r>
    </w:p>
    <w:p w14:paraId="40A54B76" w14:textId="77777777" w:rsidR="00B3442C" w:rsidRPr="00BD1837" w:rsidRDefault="00B3442C" w:rsidP="00B3442C">
      <w:pPr>
        <w:pStyle w:val="a3"/>
        <w:ind w:left="0"/>
        <w:jc w:val="center"/>
        <w:rPr>
          <w:color w:val="000000"/>
          <w:lang w:val="uk-UA"/>
        </w:rPr>
      </w:pPr>
    </w:p>
    <w:p w14:paraId="38E3E9F3" w14:textId="77777777" w:rsidR="00F4335D" w:rsidRPr="00BD1837" w:rsidRDefault="00F4335D" w:rsidP="00AD49D2">
      <w:pPr>
        <w:jc w:val="center"/>
        <w:rPr>
          <w:b/>
          <w:color w:val="000000"/>
        </w:rPr>
      </w:pPr>
      <w:r w:rsidRPr="00BD1837">
        <w:rPr>
          <w:b/>
          <w:color w:val="000000"/>
        </w:rPr>
        <w:t xml:space="preserve">ПРОЕКТ ПОРЯДКУ ДЕННОГО </w:t>
      </w:r>
    </w:p>
    <w:p w14:paraId="22D0A348" w14:textId="1A92DE2E" w:rsidR="00B14621" w:rsidRPr="00BD1837" w:rsidRDefault="00B3442C" w:rsidP="00AD49D2">
      <w:pPr>
        <w:jc w:val="center"/>
        <w:rPr>
          <w:color w:val="000000"/>
        </w:rPr>
      </w:pPr>
      <w:r w:rsidRPr="00BD1837">
        <w:rPr>
          <w:color w:val="000000"/>
        </w:rPr>
        <w:t>(перелік питань разом з проектом рішень щодо кожного з питань, включених до проекту порядку денного):</w:t>
      </w:r>
    </w:p>
    <w:tbl>
      <w:tblPr>
        <w:tblStyle w:val="a5"/>
        <w:tblW w:w="9769" w:type="dxa"/>
        <w:tblLayout w:type="fixed"/>
        <w:tblLook w:val="04A0" w:firstRow="1" w:lastRow="0" w:firstColumn="1" w:lastColumn="0" w:noHBand="0" w:noVBand="1"/>
      </w:tblPr>
      <w:tblGrid>
        <w:gridCol w:w="562"/>
        <w:gridCol w:w="3515"/>
        <w:gridCol w:w="5692"/>
      </w:tblGrid>
      <w:tr w:rsidR="007F1A67" w:rsidRPr="00BD1837" w14:paraId="40A54B7F" w14:textId="77777777" w:rsidTr="007F1A67">
        <w:tc>
          <w:tcPr>
            <w:tcW w:w="562" w:type="dxa"/>
            <w:vAlign w:val="center"/>
          </w:tcPr>
          <w:p w14:paraId="40A54B79" w14:textId="77777777" w:rsidR="007F1A67" w:rsidRPr="00BD1837" w:rsidRDefault="007F1A67" w:rsidP="007F1A67">
            <w:pPr>
              <w:jc w:val="center"/>
              <w:rPr>
                <w:color w:val="000000"/>
              </w:rPr>
            </w:pPr>
            <w:r w:rsidRPr="00BD1837">
              <w:rPr>
                <w:color w:val="000000"/>
              </w:rPr>
              <w:t>1.</w:t>
            </w:r>
          </w:p>
        </w:tc>
        <w:tc>
          <w:tcPr>
            <w:tcW w:w="3515" w:type="dxa"/>
            <w:vAlign w:val="center"/>
          </w:tcPr>
          <w:p w14:paraId="40A54B7A" w14:textId="73D456B8" w:rsidR="007F1A67" w:rsidRPr="00BD1837" w:rsidRDefault="007F1A67" w:rsidP="00AD49D2">
            <w:pPr>
              <w:rPr>
                <w:color w:val="000000"/>
              </w:rPr>
            </w:pPr>
            <w:r w:rsidRPr="00BD1837">
              <w:rPr>
                <w:color w:val="000000" w:themeColor="text1"/>
              </w:rPr>
              <w:t>Обрання Лічильної комісії позачергових Загальних зборів Товариства. Затвердження регламенту роботи позачергових Загальних зборів Товариства</w:t>
            </w:r>
            <w:r w:rsidRPr="00BD1837">
              <w:rPr>
                <w:bCs/>
              </w:rPr>
              <w:t>.</w:t>
            </w:r>
          </w:p>
        </w:tc>
        <w:tc>
          <w:tcPr>
            <w:tcW w:w="5692" w:type="dxa"/>
            <w:vAlign w:val="center"/>
          </w:tcPr>
          <w:p w14:paraId="5F1B3C5D" w14:textId="77777777" w:rsidR="007F1A67" w:rsidRPr="00BD1837" w:rsidRDefault="007F1A67" w:rsidP="00AD49D2">
            <w:pPr>
              <w:jc w:val="both"/>
            </w:pPr>
            <w:r w:rsidRPr="00BD1837">
              <w:t>1.1. Обрати Лічильну комісію позачергових Загальних зборів Товариства у наступному складі:</w:t>
            </w:r>
          </w:p>
          <w:p w14:paraId="32E792B4" w14:textId="358A4D88" w:rsidR="007F1A67" w:rsidRPr="00BD1837" w:rsidRDefault="007F1A67" w:rsidP="00AD49D2">
            <w:pPr>
              <w:jc w:val="both"/>
            </w:pPr>
            <w:r w:rsidRPr="00BD1837">
              <w:t xml:space="preserve">Голова Лічильної комісії - </w:t>
            </w:r>
            <w:r w:rsidR="00F44D8E" w:rsidRPr="00BD1837">
              <w:t>Пославська Наталія Яківна</w:t>
            </w:r>
            <w:r w:rsidRPr="00BD1837">
              <w:t>;</w:t>
            </w:r>
          </w:p>
          <w:p w14:paraId="78F3D1D6" w14:textId="1DF3D816" w:rsidR="007F1A67" w:rsidRPr="00BD1837" w:rsidRDefault="007F1A67" w:rsidP="00082749">
            <w:pPr>
              <w:jc w:val="both"/>
            </w:pPr>
            <w:r w:rsidRPr="00BD1837">
              <w:t xml:space="preserve">Члени Лічильної комісії: </w:t>
            </w:r>
            <w:r w:rsidR="00F44D8E" w:rsidRPr="00BD1837">
              <w:t>Степаненко Олена Миколаївна, Лебідь Микола Сергійович</w:t>
            </w:r>
            <w:r w:rsidRPr="00BD1837">
              <w:t>.</w:t>
            </w:r>
          </w:p>
          <w:p w14:paraId="40A54B7E" w14:textId="3CC605C3" w:rsidR="007F1A67" w:rsidRPr="00BD1837" w:rsidRDefault="007F1A67" w:rsidP="00AD49D2">
            <w:pPr>
              <w:jc w:val="both"/>
            </w:pPr>
            <w:r w:rsidRPr="00BD1837">
              <w:t>1.2. Затвердити регламент роботи позачергових Загальних зборів Товариства (додається).</w:t>
            </w:r>
          </w:p>
        </w:tc>
      </w:tr>
      <w:tr w:rsidR="00B3442C" w:rsidRPr="00BD1837" w14:paraId="40A54B84" w14:textId="77777777" w:rsidTr="007F1A67">
        <w:tc>
          <w:tcPr>
            <w:tcW w:w="562" w:type="dxa"/>
            <w:vAlign w:val="center"/>
          </w:tcPr>
          <w:p w14:paraId="40A54B80" w14:textId="77777777" w:rsidR="00B3442C" w:rsidRPr="00BD1837" w:rsidRDefault="00B3442C" w:rsidP="00AB4348">
            <w:pPr>
              <w:spacing w:before="120" w:after="120"/>
              <w:jc w:val="center"/>
              <w:rPr>
                <w:color w:val="000000"/>
              </w:rPr>
            </w:pPr>
            <w:r w:rsidRPr="00BD1837">
              <w:rPr>
                <w:color w:val="000000"/>
              </w:rPr>
              <w:t>2.</w:t>
            </w:r>
          </w:p>
        </w:tc>
        <w:tc>
          <w:tcPr>
            <w:tcW w:w="3515" w:type="dxa"/>
            <w:vAlign w:val="center"/>
          </w:tcPr>
          <w:p w14:paraId="40A54B81" w14:textId="239E5566" w:rsidR="00B3442C" w:rsidRPr="00BD1837" w:rsidRDefault="00B14621" w:rsidP="00AD49D2">
            <w:pPr>
              <w:widowControl w:val="0"/>
              <w:autoSpaceDE w:val="0"/>
              <w:autoSpaceDN w:val="0"/>
              <w:adjustRightInd w:val="0"/>
              <w:jc w:val="both"/>
            </w:pPr>
            <w:r w:rsidRPr="00BD1837">
              <w:t>Надання згоди та/або схвалення вчинення Товариством значних правочинів, що є обов’язковими для участі на нових сегментах ринку електричної енергії</w:t>
            </w:r>
            <w:r w:rsidR="00B3442C" w:rsidRPr="00BD1837">
              <w:rPr>
                <w:bCs/>
              </w:rPr>
              <w:t>.</w:t>
            </w:r>
          </w:p>
        </w:tc>
        <w:tc>
          <w:tcPr>
            <w:tcW w:w="5692" w:type="dxa"/>
            <w:vAlign w:val="center"/>
          </w:tcPr>
          <w:p w14:paraId="13EA644F" w14:textId="4D184EC1" w:rsidR="00B14621" w:rsidRPr="00BD1837" w:rsidRDefault="00B3442C" w:rsidP="00AD49D2">
            <w:pPr>
              <w:widowControl w:val="0"/>
              <w:autoSpaceDE w:val="0"/>
              <w:autoSpaceDN w:val="0"/>
              <w:adjustRightInd w:val="0"/>
              <w:jc w:val="both"/>
            </w:pPr>
            <w:r w:rsidRPr="00BD1837">
              <w:rPr>
                <w:color w:val="000000"/>
              </w:rPr>
              <w:t xml:space="preserve">2.1. </w:t>
            </w:r>
            <w:r w:rsidR="00B14621" w:rsidRPr="00BD1837">
              <w:t>Надати згоду та/або схвалити вчинення Виконавчим органом Товариства значних правочинів незалежно від їх суми (</w:t>
            </w:r>
            <w:r w:rsidR="00293EC5" w:rsidRPr="002B5C7A">
              <w:t>в тому числі на суму, що перевищує 50% вартості активів Товариства за даними останньої річної фінансової звітності</w:t>
            </w:r>
            <w:r w:rsidR="00B14621" w:rsidRPr="00BD1837">
              <w:t>) та строку дії, а саме:</w:t>
            </w:r>
          </w:p>
          <w:p w14:paraId="2216E2D3" w14:textId="63CA3207" w:rsidR="00B14621" w:rsidRPr="00BD1837" w:rsidRDefault="00B14621" w:rsidP="00AD49D2">
            <w:pPr>
              <w:pStyle w:val="a3"/>
              <w:numPr>
                <w:ilvl w:val="2"/>
                <w:numId w:val="5"/>
              </w:numPr>
              <w:tabs>
                <w:tab w:val="left" w:pos="1055"/>
              </w:tabs>
              <w:ind w:left="1055" w:hanging="567"/>
              <w:jc w:val="both"/>
              <w:rPr>
                <w:lang w:val="uk-UA"/>
              </w:rPr>
            </w:pPr>
            <w:r w:rsidRPr="00BD1837">
              <w:rPr>
                <w:lang w:val="uk-UA"/>
              </w:rPr>
              <w:t>укладення з ДП «НЕК УКРЕНЕРГО» (Україна, код ЄДРПОУ – 00100227) та / або його правонаступниками та / або іншими юридичними особами, які будуть виконувати функції оператора системи передачі (адміністратора розрахунків):</w:t>
            </w:r>
          </w:p>
          <w:p w14:paraId="63086E00" w14:textId="2F37FDF6" w:rsidR="00B14621" w:rsidRPr="00BD1837" w:rsidRDefault="00B14621" w:rsidP="00AD49D2">
            <w:pPr>
              <w:pStyle w:val="a3"/>
              <w:numPr>
                <w:ilvl w:val="0"/>
                <w:numId w:val="3"/>
              </w:numPr>
              <w:ind w:left="1622" w:hanging="567"/>
              <w:jc w:val="both"/>
              <w:rPr>
                <w:lang w:val="uk-UA"/>
              </w:rPr>
            </w:pPr>
            <w:r w:rsidRPr="00BD1837">
              <w:rPr>
                <w:lang w:val="uk-UA"/>
              </w:rPr>
              <w:t>договорів про врегулювання небалансів електроенергії і договорів про участь у балансуючому ринку щодо здійснення операцій з купівлі-продажу електричної енергії (послуг з балансування) без встановлення граничних лімітів обсягів, ціни і вартості електричної енергії (послуг з балансування), за умови, що такі договори укладаються відповідно до Правил ринку, затверджених постановою Національної комісії, що здійснює державне регулювання у сферах енергетики і комунальних послуг № 307 від 14.03.2017 (надалі – «</w:t>
            </w:r>
            <w:r w:rsidRPr="00BD1837">
              <w:rPr>
                <w:b/>
                <w:lang w:val="uk-UA"/>
              </w:rPr>
              <w:t>Правил</w:t>
            </w:r>
            <w:r w:rsidR="004F1153">
              <w:rPr>
                <w:b/>
                <w:lang w:val="uk-UA"/>
              </w:rPr>
              <w:t>а</w:t>
            </w:r>
            <w:r w:rsidRPr="00BD1837">
              <w:rPr>
                <w:b/>
                <w:lang w:val="uk-UA"/>
              </w:rPr>
              <w:t xml:space="preserve"> ринку електричної енергії</w:t>
            </w:r>
            <w:r w:rsidRPr="00BD1837">
              <w:rPr>
                <w:lang w:val="uk-UA"/>
              </w:rPr>
              <w:t>»);</w:t>
            </w:r>
          </w:p>
          <w:p w14:paraId="5570DC6D" w14:textId="77777777" w:rsidR="00B14621" w:rsidRPr="00BD1837" w:rsidRDefault="00B14621" w:rsidP="00AD49D2">
            <w:pPr>
              <w:pStyle w:val="a3"/>
              <w:numPr>
                <w:ilvl w:val="0"/>
                <w:numId w:val="3"/>
              </w:numPr>
              <w:ind w:left="1622" w:hanging="567"/>
              <w:jc w:val="both"/>
              <w:rPr>
                <w:lang w:val="uk-UA"/>
              </w:rPr>
            </w:pPr>
            <w:r w:rsidRPr="00BD1837">
              <w:rPr>
                <w:lang w:val="uk-UA"/>
              </w:rPr>
              <w:lastRenderedPageBreak/>
              <w:t>договорів про надання допоміжних послуг (в т.ч. про надання допоміжних послуг із регулювання частоти та активної потужності, про надання допоміжних послуг із забезпечення відновлення функціонування ОЕС України після системних аварій, про надання послуг із регулювання напруги та реактивної потужності в режимі синхронного компенсатора), без встановлення граничних лімітів обсягів, ціни і вартості таких договорів, за умови, що такі договори укладаються відповідно до Правил ринку електричної енергії;</w:t>
            </w:r>
          </w:p>
          <w:p w14:paraId="65C5270C" w14:textId="690AF488" w:rsidR="00B14621" w:rsidRPr="00BD1837" w:rsidRDefault="00B14621" w:rsidP="00AD49D2">
            <w:pPr>
              <w:pStyle w:val="a3"/>
              <w:numPr>
                <w:ilvl w:val="0"/>
                <w:numId w:val="3"/>
              </w:numPr>
              <w:ind w:left="1622" w:hanging="567"/>
              <w:jc w:val="both"/>
              <w:rPr>
                <w:lang w:val="uk-UA"/>
              </w:rPr>
            </w:pPr>
            <w:r w:rsidRPr="00BD1837">
              <w:rPr>
                <w:lang w:val="uk-UA"/>
              </w:rPr>
              <w:t xml:space="preserve">договорів про надання послуг з передачі електричної енергії та договорів про надання послуг з диспетчерського (оперативно-технологічного) управління, без встановлення граничних лімітів обсягів, ціни і вартості послуг, за умови, що ціни (тарифи) на такі послуги врегульовані Національною комісією, що здійснює державне регулювання у сферах </w:t>
            </w:r>
            <w:r w:rsidR="007D78C8">
              <w:rPr>
                <w:lang w:val="uk-UA"/>
              </w:rPr>
              <w:t>енергетики і комунальних послуг.</w:t>
            </w:r>
          </w:p>
          <w:p w14:paraId="5777F550" w14:textId="6BCCD586" w:rsidR="00B14621" w:rsidRPr="00BD1837" w:rsidRDefault="00B14621" w:rsidP="00AD49D2">
            <w:pPr>
              <w:pStyle w:val="a3"/>
              <w:numPr>
                <w:ilvl w:val="2"/>
                <w:numId w:val="5"/>
              </w:numPr>
              <w:tabs>
                <w:tab w:val="left" w:pos="1055"/>
              </w:tabs>
              <w:ind w:left="1055" w:hanging="567"/>
              <w:jc w:val="both"/>
              <w:rPr>
                <w:lang w:val="uk-UA"/>
              </w:rPr>
            </w:pPr>
            <w:r w:rsidRPr="00BD1837">
              <w:rPr>
                <w:lang w:val="uk-UA"/>
              </w:rPr>
              <w:t>укладення з ДП «ОПЕРАТОР РИНКУ» (Україна, код ЄДРПОУ – 43064445) або іншою юридичною особою, яке буде виконувати функції Оператора ринку, договору про участь у ринку «на добу наперед» і внутрішньодобового ринку, договорів купівлі-продажу електричної енергії на ринку «на добу наперед» і внутрішньодобового ринку, без встановлення граничних лімітів обсягів, ціни і вартості електричної енергії, за умови, що вони визначені у відповідності з Правилами ринку «на добу наперед» і внутрішньодобового ринку, затверджених постановою Національної комісії, що здійснює державне регулювання у сферах енергетики і комунальних послуг № 308 від 14.03.2017;</w:t>
            </w:r>
          </w:p>
          <w:p w14:paraId="300AE4DE" w14:textId="77777777" w:rsidR="00B14621" w:rsidRPr="00BD1837" w:rsidRDefault="00B14621" w:rsidP="00AD49D2">
            <w:pPr>
              <w:pStyle w:val="a3"/>
              <w:numPr>
                <w:ilvl w:val="2"/>
                <w:numId w:val="5"/>
              </w:numPr>
              <w:tabs>
                <w:tab w:val="left" w:pos="1055"/>
              </w:tabs>
              <w:ind w:left="1055" w:hanging="567"/>
              <w:jc w:val="both"/>
              <w:rPr>
                <w:lang w:val="uk-UA"/>
              </w:rPr>
            </w:pPr>
            <w:r w:rsidRPr="00BD1837">
              <w:rPr>
                <w:lang w:val="uk-UA"/>
              </w:rPr>
              <w:t xml:space="preserve">укладення з юридичною особою, яка є ліцензіатом із надання послуг із розподілу, договорів про надання послуг із розподілу електричної енергії, без встановлення граничних лімітів обсягів, ціни і вартості послуг, за умови, що ціни (тарифи) на такі послуги врегульовані Національною комісією, що здійснює державне </w:t>
            </w:r>
            <w:r w:rsidRPr="00BD1837">
              <w:rPr>
                <w:lang w:val="uk-UA"/>
              </w:rPr>
              <w:lastRenderedPageBreak/>
              <w:t>регулювання у сферах енергетики і комунальних послуг;</w:t>
            </w:r>
          </w:p>
          <w:p w14:paraId="2CFAD438" w14:textId="77777777" w:rsidR="00B14621" w:rsidRPr="00BD1837" w:rsidRDefault="00B14621" w:rsidP="00AD49D2">
            <w:pPr>
              <w:pStyle w:val="a3"/>
              <w:numPr>
                <w:ilvl w:val="2"/>
                <w:numId w:val="5"/>
              </w:numPr>
              <w:tabs>
                <w:tab w:val="left" w:pos="1055"/>
              </w:tabs>
              <w:ind w:left="1055" w:hanging="567"/>
              <w:jc w:val="both"/>
              <w:rPr>
                <w:lang w:val="uk-UA"/>
              </w:rPr>
            </w:pPr>
            <w:r w:rsidRPr="00BD1837">
              <w:rPr>
                <w:lang w:val="uk-UA"/>
              </w:rPr>
              <w:t>укладення з юридичною особою, яка є виробником електричної енергії на атомних електростанціях або гідроелектростанціях, договорів купівлі - продажу електричної енергії на ринку двосторонніх договорів, без встановлення граничних лімітів обсягів, ціни або вартості послуг, за умови, що вони регулюються Національною комісією, що здійснює державне регулювання у сферах енергетики і комунальних послуг або іншим органом державної влади;</w:t>
            </w:r>
          </w:p>
          <w:p w14:paraId="2DAC2B55" w14:textId="77777777" w:rsidR="00B14621" w:rsidRPr="00BD1837" w:rsidRDefault="00B14621" w:rsidP="00AD49D2">
            <w:pPr>
              <w:pStyle w:val="a3"/>
              <w:numPr>
                <w:ilvl w:val="2"/>
                <w:numId w:val="5"/>
              </w:numPr>
              <w:ind w:left="1134" w:hanging="567"/>
              <w:jc w:val="both"/>
              <w:rPr>
                <w:lang w:val="uk-UA"/>
              </w:rPr>
            </w:pPr>
            <w:r w:rsidRPr="00BD1837">
              <w:rPr>
                <w:lang w:val="uk-UA"/>
              </w:rPr>
              <w:t>укладення (без встановлення граничних лімітів обсягів, ціни або вартості послуг) договорів купівлі-продажу електричної енергії та договорів про надання послуг із забезпечення доступності електричної енергії для побутових споживачів з ДП «ГАРАНТОВАНИЙ ПОКУПЕЦЬ» (Україна, код ЄДРПОУ – 43068454), договорів про надання послуг із забезпечення збільшення частки виробництва електричної енергії з альтернативних джерел з ДП «НЕК УКРЕНЕРГО» (Україна, код ЄДРПОУ – 00100227) та / або його правонаступниками та / або іншими юридичними особами, які будуть виконувати функції оператора системи передачі, за умови, що порядок визначення цін (тарифів) регулюється Національною комісією, що здійснює державне регулювання у сферах енергетики і комунальних послуг, або іншим органом державної влади.</w:t>
            </w:r>
          </w:p>
          <w:p w14:paraId="41071E31" w14:textId="42CA2C52" w:rsidR="00B14621" w:rsidRPr="00BD1837" w:rsidRDefault="00B14621" w:rsidP="00AD49D2">
            <w:pPr>
              <w:pStyle w:val="a3"/>
              <w:numPr>
                <w:ilvl w:val="1"/>
                <w:numId w:val="5"/>
              </w:numPr>
              <w:ind w:left="567" w:hanging="567"/>
              <w:jc w:val="both"/>
              <w:rPr>
                <w:lang w:val="uk-UA"/>
              </w:rPr>
            </w:pPr>
            <w:r w:rsidRPr="00BD1837">
              <w:rPr>
                <w:lang w:val="uk-UA"/>
              </w:rPr>
              <w:t>Встановити, що правочини, передбачені пунктом 2.1, не стосуються будь-яких транзакцій з акціями та/або корпоративними правами, а рівно підписання, оформлення та/або видачою будь-яких документів, що стосуються таких транзакцій.</w:t>
            </w:r>
          </w:p>
          <w:p w14:paraId="40A54B83" w14:textId="7DBE4A34" w:rsidR="00B3442C" w:rsidRPr="00BD1837" w:rsidRDefault="00B14621" w:rsidP="00AD49D2">
            <w:pPr>
              <w:pStyle w:val="a3"/>
              <w:numPr>
                <w:ilvl w:val="1"/>
                <w:numId w:val="5"/>
              </w:numPr>
              <w:ind w:left="567" w:hanging="567"/>
              <w:jc w:val="both"/>
              <w:rPr>
                <w:lang w:val="uk-UA"/>
              </w:rPr>
            </w:pPr>
            <w:r w:rsidRPr="00BD1837">
              <w:rPr>
                <w:lang w:val="uk-UA"/>
              </w:rPr>
              <w:t xml:space="preserve"> Встановити, що за рішенням Виконавчого органу Товариства Товариство має право вчиняти правочини, передбачені пунктом 2.1, без отримання додаткового погодження Наглядової ради Товариства</w:t>
            </w:r>
            <w:r w:rsidR="00B3442C" w:rsidRPr="00BD1837">
              <w:rPr>
                <w:color w:val="000000" w:themeColor="text1"/>
                <w:lang w:val="uk-UA"/>
              </w:rPr>
              <w:t>.</w:t>
            </w:r>
          </w:p>
        </w:tc>
      </w:tr>
      <w:tr w:rsidR="00082749" w:rsidRPr="00BD1837" w14:paraId="35E4163E" w14:textId="77777777" w:rsidTr="007F1A67">
        <w:tc>
          <w:tcPr>
            <w:tcW w:w="562" w:type="dxa"/>
            <w:vAlign w:val="center"/>
          </w:tcPr>
          <w:p w14:paraId="052DBAF4" w14:textId="24D55611" w:rsidR="00082749" w:rsidRPr="00BD1837" w:rsidRDefault="00082749" w:rsidP="00082749">
            <w:pPr>
              <w:spacing w:before="120" w:after="120"/>
              <w:jc w:val="center"/>
              <w:rPr>
                <w:color w:val="000000"/>
              </w:rPr>
            </w:pPr>
            <w:r w:rsidRPr="00BD1837">
              <w:rPr>
                <w:color w:val="000000"/>
              </w:rPr>
              <w:lastRenderedPageBreak/>
              <w:t>3.</w:t>
            </w:r>
          </w:p>
        </w:tc>
        <w:tc>
          <w:tcPr>
            <w:tcW w:w="3515" w:type="dxa"/>
            <w:vAlign w:val="center"/>
          </w:tcPr>
          <w:p w14:paraId="4669D79D" w14:textId="3F773BD8" w:rsidR="00082749" w:rsidRPr="00BD1837" w:rsidRDefault="00082749" w:rsidP="00082749">
            <w:pPr>
              <w:widowControl w:val="0"/>
              <w:autoSpaceDE w:val="0"/>
              <w:autoSpaceDN w:val="0"/>
              <w:adjustRightInd w:val="0"/>
              <w:jc w:val="both"/>
            </w:pPr>
            <w:r w:rsidRPr="00BD1837">
              <w:rPr>
                <w:bCs/>
              </w:rPr>
              <w:t>Внесення змін до Статуту Товариства</w:t>
            </w:r>
          </w:p>
        </w:tc>
        <w:tc>
          <w:tcPr>
            <w:tcW w:w="5692" w:type="dxa"/>
            <w:vAlign w:val="center"/>
          </w:tcPr>
          <w:p w14:paraId="0E7E7058" w14:textId="77777777" w:rsidR="00082749" w:rsidRPr="00BD1837" w:rsidRDefault="00082749" w:rsidP="00082749">
            <w:pPr>
              <w:jc w:val="both"/>
            </w:pPr>
            <w:r w:rsidRPr="00BD1837">
              <w:t>3.1. Внести та затвердити зміни до Статуту Товариства, шляхом викладення його у новій редакції.</w:t>
            </w:r>
          </w:p>
          <w:p w14:paraId="23A89565" w14:textId="77777777" w:rsidR="00082749" w:rsidRPr="00BD1837" w:rsidRDefault="00082749" w:rsidP="00082749">
            <w:pPr>
              <w:jc w:val="both"/>
            </w:pPr>
            <w:r w:rsidRPr="00BD1837">
              <w:t xml:space="preserve">3.2. Встановити, що нова редакція Статуту Товариства набуває чинності для Товариства, його акціонерів та посадових осіб з моменту прийняття цього рішення Загальними зборами акціонерів </w:t>
            </w:r>
            <w:r w:rsidRPr="00BD1837">
              <w:lastRenderedPageBreak/>
              <w:t>Товариства, а для третіх осіб – з моменту її державної реєстрації.</w:t>
            </w:r>
          </w:p>
          <w:p w14:paraId="15780ABA" w14:textId="77777777" w:rsidR="00082749" w:rsidRPr="00BD1837" w:rsidRDefault="00082749" w:rsidP="00082749">
            <w:pPr>
              <w:jc w:val="both"/>
            </w:pPr>
            <w:r w:rsidRPr="00BD1837">
              <w:t>3.3. Доручити Голові та Секретарю цих Загальних зборів акціонерів Товариства підписати нову редакцію Статуту Товариства, яка затверджена цими Загальними зборами акціонерів Товариства.</w:t>
            </w:r>
          </w:p>
          <w:p w14:paraId="65818BFB" w14:textId="55226DA6" w:rsidR="00082749" w:rsidRPr="00BD1837" w:rsidRDefault="00082749" w:rsidP="00082749">
            <w:pPr>
              <w:widowControl w:val="0"/>
              <w:autoSpaceDE w:val="0"/>
              <w:autoSpaceDN w:val="0"/>
              <w:adjustRightInd w:val="0"/>
              <w:jc w:val="both"/>
              <w:rPr>
                <w:color w:val="000000"/>
              </w:rPr>
            </w:pPr>
            <w:r w:rsidRPr="00BD1837">
              <w:t>3.4. Уповноважити Виконавчий орган Товариства забезпечити здійснення державної реєстрації Статуту Товариства, затвердженого цими Загальними зборами акціонерів Товариства, самостійно або доручивши це іншим особам у порядку, встановленому чинним законодавством України.</w:t>
            </w:r>
          </w:p>
        </w:tc>
      </w:tr>
      <w:tr w:rsidR="00181512" w:rsidRPr="00BD1837" w14:paraId="5C87AF7E" w14:textId="77777777" w:rsidTr="007F1A67">
        <w:tc>
          <w:tcPr>
            <w:tcW w:w="562" w:type="dxa"/>
            <w:vAlign w:val="center"/>
          </w:tcPr>
          <w:p w14:paraId="05340C5D" w14:textId="291E2804" w:rsidR="00181512" w:rsidRPr="00BD1837" w:rsidRDefault="00181512" w:rsidP="00181512">
            <w:pPr>
              <w:spacing w:before="120" w:after="120"/>
              <w:jc w:val="center"/>
              <w:rPr>
                <w:color w:val="000000"/>
              </w:rPr>
            </w:pPr>
            <w:r w:rsidRPr="00BD1837">
              <w:rPr>
                <w:color w:val="000000"/>
              </w:rPr>
              <w:lastRenderedPageBreak/>
              <w:t>4.</w:t>
            </w:r>
          </w:p>
        </w:tc>
        <w:tc>
          <w:tcPr>
            <w:tcW w:w="3515" w:type="dxa"/>
            <w:vAlign w:val="center"/>
          </w:tcPr>
          <w:p w14:paraId="38CAFB24" w14:textId="7DB846EF" w:rsidR="00181512" w:rsidRPr="00BD1837" w:rsidRDefault="00181512" w:rsidP="00181512">
            <w:pPr>
              <w:widowControl w:val="0"/>
              <w:autoSpaceDE w:val="0"/>
              <w:autoSpaceDN w:val="0"/>
              <w:adjustRightInd w:val="0"/>
              <w:jc w:val="both"/>
              <w:rPr>
                <w:bCs/>
              </w:rPr>
            </w:pPr>
            <w:r w:rsidRPr="00BD1837">
              <w:t>Про зміну колегіального Виконавчого органу Товариства (Правління) на одноосібний Виконавчий орган Товариства (Генеральний директор)</w:t>
            </w:r>
          </w:p>
        </w:tc>
        <w:tc>
          <w:tcPr>
            <w:tcW w:w="5692" w:type="dxa"/>
            <w:vAlign w:val="center"/>
          </w:tcPr>
          <w:p w14:paraId="5E116620" w14:textId="41E27E90" w:rsidR="00181512" w:rsidRPr="00BD1837" w:rsidRDefault="00181512" w:rsidP="00181512">
            <w:pPr>
              <w:jc w:val="both"/>
            </w:pPr>
            <w:r w:rsidRPr="00BD1837">
              <w:t>4.1. Змінити з моменту державної реєстрації нової редакції Статуту АКЦІОНЕРНОГО ТОВАРИСТВА «ОДЕСАОБЛЕНЕРГО» колегіальний Виконавчий орган АКЦІОНЕРНОГО ТОВАРИСТВА «ОДЕСАОБЛЕНЕРГО» (Правління) на одноосібний Виконавчий орган АКЦІОНЕРНОГО ТОВАРИСТВА «ОДЕСАОБЛЕНЕРГО» (Генеральний директор).</w:t>
            </w:r>
          </w:p>
        </w:tc>
      </w:tr>
      <w:tr w:rsidR="00181512" w:rsidRPr="00BD1837" w14:paraId="104B7D14" w14:textId="77777777" w:rsidTr="007F1A67">
        <w:tc>
          <w:tcPr>
            <w:tcW w:w="562" w:type="dxa"/>
            <w:vAlign w:val="center"/>
          </w:tcPr>
          <w:p w14:paraId="034A16E8" w14:textId="67035DE5" w:rsidR="00181512" w:rsidRPr="00BD1837" w:rsidRDefault="00181512" w:rsidP="00181512">
            <w:pPr>
              <w:spacing w:before="120" w:after="120"/>
              <w:jc w:val="center"/>
              <w:rPr>
                <w:color w:val="000000"/>
              </w:rPr>
            </w:pPr>
            <w:r w:rsidRPr="00BD1837">
              <w:rPr>
                <w:color w:val="000000"/>
              </w:rPr>
              <w:t>5.</w:t>
            </w:r>
          </w:p>
        </w:tc>
        <w:tc>
          <w:tcPr>
            <w:tcW w:w="3515" w:type="dxa"/>
            <w:vAlign w:val="center"/>
          </w:tcPr>
          <w:p w14:paraId="4C5D79F4" w14:textId="4271C7B9" w:rsidR="00181512" w:rsidRPr="00BD1837" w:rsidRDefault="00181512" w:rsidP="00181512">
            <w:pPr>
              <w:widowControl w:val="0"/>
              <w:autoSpaceDE w:val="0"/>
              <w:autoSpaceDN w:val="0"/>
              <w:adjustRightInd w:val="0"/>
              <w:jc w:val="both"/>
            </w:pPr>
            <w:r w:rsidRPr="00BD1837">
              <w:t>Про скасування положення про Загальні збори акціонерів Товариства, про Наглядову раду Товариства, про Правління Товариства та про Ревізійну комісію Товариства.</w:t>
            </w:r>
          </w:p>
        </w:tc>
        <w:tc>
          <w:tcPr>
            <w:tcW w:w="5692" w:type="dxa"/>
            <w:vAlign w:val="center"/>
          </w:tcPr>
          <w:p w14:paraId="23D858C8" w14:textId="77777777" w:rsidR="00181512" w:rsidRPr="00BD1837" w:rsidRDefault="00181512" w:rsidP="00181512">
            <w:pPr>
              <w:jc w:val="both"/>
            </w:pPr>
            <w:r w:rsidRPr="00BD1837">
              <w:t xml:space="preserve">5.1. Скасувати з моменту державної реєстрації нової редакції Статуту АКЦІОНЕРНОГО ТОВАРИСТВА «ОДЕСАОБЛЕНЕРГО» та визнати такими, що втратили чинність: </w:t>
            </w:r>
          </w:p>
          <w:p w14:paraId="3DD2BCC9" w14:textId="77777777" w:rsidR="00181512" w:rsidRPr="00BD1837" w:rsidRDefault="00181512" w:rsidP="00181512">
            <w:pPr>
              <w:jc w:val="both"/>
            </w:pPr>
            <w:r w:rsidRPr="00BD1837">
              <w:t>- Положення про Загальні збори акціонерів АКЦІОНЕРНОГО ТОВАРИСТВА «ОДЕСАОБЛЕНЕРГО»;</w:t>
            </w:r>
          </w:p>
          <w:p w14:paraId="58A13379" w14:textId="77777777" w:rsidR="00181512" w:rsidRPr="00BD1837" w:rsidRDefault="00181512" w:rsidP="00181512">
            <w:pPr>
              <w:jc w:val="both"/>
            </w:pPr>
            <w:r w:rsidRPr="00BD1837">
              <w:t>- Положення про Наглядову раду АКЦІОНЕРНОГО ТОВАРИСТВА «ОДЕСАОБЛЕНЕРГО»;</w:t>
            </w:r>
          </w:p>
          <w:p w14:paraId="3B409B99" w14:textId="77777777" w:rsidR="00181512" w:rsidRPr="00BD1837" w:rsidRDefault="00181512" w:rsidP="00181512">
            <w:pPr>
              <w:jc w:val="both"/>
            </w:pPr>
            <w:r w:rsidRPr="00BD1837">
              <w:t>- Положення про Правління АКЦІОНЕРНОГО ТОВАРИСТВА «ОДЕСАОБЛЕНЕРГО»;</w:t>
            </w:r>
          </w:p>
          <w:p w14:paraId="391C5DE9" w14:textId="4D0245CD" w:rsidR="00181512" w:rsidRPr="00BD1837" w:rsidRDefault="00181512" w:rsidP="00181512">
            <w:pPr>
              <w:jc w:val="both"/>
            </w:pPr>
            <w:r w:rsidRPr="00BD1837">
              <w:t>- Положення про Ревізійну комісію АКЦІОНЕРНОГО ТОВАРИСТВА «ОДЕСАОБЛЕНЕРГО».</w:t>
            </w:r>
          </w:p>
        </w:tc>
      </w:tr>
      <w:tr w:rsidR="00181512" w:rsidRPr="00BD1837" w14:paraId="51AE7C9A" w14:textId="77777777" w:rsidTr="007F1A67">
        <w:tc>
          <w:tcPr>
            <w:tcW w:w="562" w:type="dxa"/>
            <w:vAlign w:val="center"/>
          </w:tcPr>
          <w:p w14:paraId="77DF385D" w14:textId="504E0564" w:rsidR="00181512" w:rsidRPr="00BD1837" w:rsidRDefault="00181512" w:rsidP="00181512">
            <w:pPr>
              <w:spacing w:before="120" w:after="120"/>
              <w:jc w:val="center"/>
              <w:rPr>
                <w:color w:val="000000"/>
              </w:rPr>
            </w:pPr>
            <w:r w:rsidRPr="00BD1837">
              <w:rPr>
                <w:color w:val="000000"/>
              </w:rPr>
              <w:t>6.</w:t>
            </w:r>
          </w:p>
        </w:tc>
        <w:tc>
          <w:tcPr>
            <w:tcW w:w="3515" w:type="dxa"/>
            <w:vAlign w:val="center"/>
          </w:tcPr>
          <w:p w14:paraId="49823973" w14:textId="1CAFBAFC" w:rsidR="00181512" w:rsidRPr="00BD1837" w:rsidRDefault="00181512" w:rsidP="00181512">
            <w:pPr>
              <w:widowControl w:val="0"/>
              <w:autoSpaceDE w:val="0"/>
              <w:autoSpaceDN w:val="0"/>
              <w:adjustRightInd w:val="0"/>
              <w:jc w:val="both"/>
            </w:pPr>
            <w:r w:rsidRPr="00BD1837">
              <w:t>Про припинення повноважень членів Наглядової ради Товариства.</w:t>
            </w:r>
          </w:p>
        </w:tc>
        <w:tc>
          <w:tcPr>
            <w:tcW w:w="5692" w:type="dxa"/>
            <w:vAlign w:val="center"/>
          </w:tcPr>
          <w:p w14:paraId="23E2DFC0" w14:textId="147464DC" w:rsidR="00181512" w:rsidRPr="00BD1837" w:rsidRDefault="00181512" w:rsidP="00181512">
            <w:pPr>
              <w:jc w:val="both"/>
            </w:pPr>
            <w:r w:rsidRPr="00BD1837">
              <w:t>6.1. Припинити повноваження членів Наглядової ради Товариства у повному складі.</w:t>
            </w:r>
          </w:p>
        </w:tc>
      </w:tr>
      <w:tr w:rsidR="00181512" w:rsidRPr="00BD1837" w14:paraId="246A7F84" w14:textId="77777777" w:rsidTr="007F1A67">
        <w:tc>
          <w:tcPr>
            <w:tcW w:w="562" w:type="dxa"/>
            <w:vAlign w:val="center"/>
          </w:tcPr>
          <w:p w14:paraId="516DE590" w14:textId="4D494CBF" w:rsidR="00181512" w:rsidRPr="00BD1837" w:rsidRDefault="00181512" w:rsidP="00181512">
            <w:pPr>
              <w:spacing w:before="120" w:after="120"/>
              <w:jc w:val="center"/>
              <w:rPr>
                <w:color w:val="000000"/>
              </w:rPr>
            </w:pPr>
            <w:r w:rsidRPr="00BD1837">
              <w:rPr>
                <w:color w:val="000000"/>
              </w:rPr>
              <w:t>7.</w:t>
            </w:r>
          </w:p>
        </w:tc>
        <w:tc>
          <w:tcPr>
            <w:tcW w:w="3515" w:type="dxa"/>
            <w:vAlign w:val="center"/>
          </w:tcPr>
          <w:p w14:paraId="000CA4A0" w14:textId="15988BA3" w:rsidR="00181512" w:rsidRPr="00BD1837" w:rsidRDefault="00181512" w:rsidP="00181512">
            <w:pPr>
              <w:widowControl w:val="0"/>
              <w:autoSpaceDE w:val="0"/>
              <w:autoSpaceDN w:val="0"/>
              <w:adjustRightInd w:val="0"/>
              <w:jc w:val="both"/>
            </w:pPr>
            <w:r w:rsidRPr="00BD1837">
              <w:rPr>
                <w:bCs/>
              </w:rPr>
              <w:t>Про обрання членів Наглядової ради Товариства</w:t>
            </w:r>
          </w:p>
        </w:tc>
        <w:tc>
          <w:tcPr>
            <w:tcW w:w="5692" w:type="dxa"/>
            <w:vAlign w:val="center"/>
          </w:tcPr>
          <w:p w14:paraId="00144367" w14:textId="6921B5D3" w:rsidR="00181512" w:rsidRPr="00BD1837" w:rsidRDefault="00181512" w:rsidP="00181512">
            <w:pPr>
              <w:jc w:val="both"/>
            </w:pPr>
            <w:r w:rsidRPr="00BD1837">
              <w:rPr>
                <w:i/>
              </w:rPr>
              <w:t>Обрання членів Наглядової ради Товариства буде відбуватися шляхом кумулятивного голосування відповідно до наданих акціонерами кандидатур.</w:t>
            </w:r>
          </w:p>
        </w:tc>
      </w:tr>
      <w:tr w:rsidR="00181512" w:rsidRPr="00BD1837" w14:paraId="66215129" w14:textId="77777777" w:rsidTr="007F1A67">
        <w:tc>
          <w:tcPr>
            <w:tcW w:w="562" w:type="dxa"/>
            <w:vAlign w:val="center"/>
          </w:tcPr>
          <w:p w14:paraId="0CFAED40" w14:textId="77BB9456" w:rsidR="00181512" w:rsidRPr="00BD1837" w:rsidRDefault="00181512" w:rsidP="00181512">
            <w:pPr>
              <w:spacing w:before="120" w:after="120"/>
              <w:jc w:val="center"/>
              <w:rPr>
                <w:color w:val="000000"/>
              </w:rPr>
            </w:pPr>
            <w:r w:rsidRPr="00BD1837">
              <w:rPr>
                <w:color w:val="000000"/>
              </w:rPr>
              <w:t>8.</w:t>
            </w:r>
          </w:p>
        </w:tc>
        <w:tc>
          <w:tcPr>
            <w:tcW w:w="3515" w:type="dxa"/>
            <w:vAlign w:val="center"/>
          </w:tcPr>
          <w:p w14:paraId="116C6022" w14:textId="7458391C" w:rsidR="00181512" w:rsidRPr="00BD1837" w:rsidRDefault="00181512" w:rsidP="00181512">
            <w:pPr>
              <w:widowControl w:val="0"/>
              <w:autoSpaceDE w:val="0"/>
              <w:autoSpaceDN w:val="0"/>
              <w:adjustRightInd w:val="0"/>
              <w:jc w:val="both"/>
              <w:rPr>
                <w:bCs/>
              </w:rPr>
            </w:pPr>
            <w:r w:rsidRPr="00BD1837">
              <w:t>Затвердження умов договорів, що укладатимуться з членами Наглядової ради Товариства, встановлення розміру їх винагороди, обрання особи, яка уповноважується на підписання договорів з членами Наглядової ради.</w:t>
            </w:r>
          </w:p>
        </w:tc>
        <w:tc>
          <w:tcPr>
            <w:tcW w:w="5692" w:type="dxa"/>
            <w:vAlign w:val="center"/>
          </w:tcPr>
          <w:p w14:paraId="7C7FA951" w14:textId="77777777" w:rsidR="00181512" w:rsidRPr="00BD1837" w:rsidRDefault="00181512" w:rsidP="00181512">
            <w:pPr>
              <w:contextualSpacing/>
              <w:jc w:val="both"/>
            </w:pPr>
            <w:r w:rsidRPr="00BD1837">
              <w:t>8.1. Затвердити умови договорів, що укладатимуться з членами Наглядової ради Товариства.</w:t>
            </w:r>
          </w:p>
          <w:p w14:paraId="488F7CA4" w14:textId="77777777" w:rsidR="00181512" w:rsidRPr="00BD1837" w:rsidRDefault="00181512" w:rsidP="00181512">
            <w:pPr>
              <w:contextualSpacing/>
              <w:jc w:val="both"/>
            </w:pPr>
            <w:r w:rsidRPr="00BD1837">
              <w:t>8.2. Розмір винагороди членам Наглядової ради Товариства встановити відповідно до договорів, що укладатимуться з членами Наглядової ради Товариства.</w:t>
            </w:r>
          </w:p>
          <w:p w14:paraId="05B0AE74" w14:textId="78E15660" w:rsidR="00181512" w:rsidRPr="00BD1837" w:rsidRDefault="00181512" w:rsidP="00181512">
            <w:pPr>
              <w:jc w:val="both"/>
              <w:rPr>
                <w:i/>
              </w:rPr>
            </w:pPr>
            <w:r w:rsidRPr="00BD1837">
              <w:t>8.3. Обрати Голову цих Загальних зборів акціонерів Товариства особою, яка уповноважується на підписання договорів з членами Наглядової ради Товариства.</w:t>
            </w:r>
          </w:p>
        </w:tc>
      </w:tr>
      <w:tr w:rsidR="00181512" w:rsidRPr="00BD1837" w14:paraId="3B5A1F97" w14:textId="77777777" w:rsidTr="007F1A67">
        <w:tc>
          <w:tcPr>
            <w:tcW w:w="562" w:type="dxa"/>
            <w:vAlign w:val="center"/>
          </w:tcPr>
          <w:p w14:paraId="05F5D37F" w14:textId="3B816AEB" w:rsidR="00181512" w:rsidRPr="00BD1837" w:rsidRDefault="00181512" w:rsidP="00181512">
            <w:pPr>
              <w:spacing w:before="120" w:after="120"/>
              <w:jc w:val="center"/>
              <w:rPr>
                <w:color w:val="000000"/>
              </w:rPr>
            </w:pPr>
            <w:r w:rsidRPr="00BD1837">
              <w:rPr>
                <w:color w:val="000000"/>
              </w:rPr>
              <w:t>9.</w:t>
            </w:r>
          </w:p>
        </w:tc>
        <w:tc>
          <w:tcPr>
            <w:tcW w:w="3515" w:type="dxa"/>
            <w:vAlign w:val="center"/>
          </w:tcPr>
          <w:p w14:paraId="42BF757F" w14:textId="7D0CFA3D" w:rsidR="00181512" w:rsidRPr="00BD1837" w:rsidRDefault="00181512" w:rsidP="00181512">
            <w:pPr>
              <w:widowControl w:val="0"/>
              <w:autoSpaceDE w:val="0"/>
              <w:autoSpaceDN w:val="0"/>
              <w:adjustRightInd w:val="0"/>
              <w:jc w:val="both"/>
            </w:pPr>
            <w:r w:rsidRPr="00BD1837">
              <w:t>Про дострокове припинення повноважень членів Ревізійної комісії Товариства.</w:t>
            </w:r>
          </w:p>
        </w:tc>
        <w:tc>
          <w:tcPr>
            <w:tcW w:w="5692" w:type="dxa"/>
            <w:vAlign w:val="center"/>
          </w:tcPr>
          <w:p w14:paraId="460B521E" w14:textId="2C650BC6" w:rsidR="00181512" w:rsidRPr="00BD1837" w:rsidRDefault="00181512" w:rsidP="00181512">
            <w:pPr>
              <w:contextualSpacing/>
              <w:jc w:val="both"/>
            </w:pPr>
            <w:r w:rsidRPr="00BD1837">
              <w:t>9.1. Достроково припинити повноваження членів Ревізійної комісії Товариства у повному складі.</w:t>
            </w:r>
          </w:p>
        </w:tc>
      </w:tr>
      <w:tr w:rsidR="00181512" w:rsidRPr="00BD1837" w14:paraId="3D97D3D5" w14:textId="77777777" w:rsidTr="007F1A67">
        <w:tc>
          <w:tcPr>
            <w:tcW w:w="562" w:type="dxa"/>
            <w:vAlign w:val="center"/>
          </w:tcPr>
          <w:p w14:paraId="3D018416" w14:textId="037B11CC" w:rsidR="00181512" w:rsidRPr="00BD1837" w:rsidRDefault="00181512" w:rsidP="00181512">
            <w:pPr>
              <w:spacing w:before="120" w:after="120"/>
              <w:jc w:val="center"/>
              <w:rPr>
                <w:color w:val="000000"/>
              </w:rPr>
            </w:pPr>
            <w:r w:rsidRPr="00BD1837">
              <w:rPr>
                <w:color w:val="000000"/>
              </w:rPr>
              <w:t>10.</w:t>
            </w:r>
          </w:p>
        </w:tc>
        <w:tc>
          <w:tcPr>
            <w:tcW w:w="3515" w:type="dxa"/>
            <w:vAlign w:val="center"/>
          </w:tcPr>
          <w:p w14:paraId="7E35224B" w14:textId="2ADD8987" w:rsidR="00181512" w:rsidRPr="00BD1837" w:rsidRDefault="00181512" w:rsidP="00181512">
            <w:pPr>
              <w:widowControl w:val="0"/>
              <w:autoSpaceDE w:val="0"/>
              <w:autoSpaceDN w:val="0"/>
              <w:adjustRightInd w:val="0"/>
              <w:jc w:val="both"/>
            </w:pPr>
            <w:r w:rsidRPr="00BD1837">
              <w:t>Про ліквідацію Ревізійної комісії Товариства.</w:t>
            </w:r>
          </w:p>
        </w:tc>
        <w:tc>
          <w:tcPr>
            <w:tcW w:w="5692" w:type="dxa"/>
            <w:vAlign w:val="center"/>
          </w:tcPr>
          <w:p w14:paraId="5771A370" w14:textId="106018C6" w:rsidR="00181512" w:rsidRPr="00BD1837" w:rsidRDefault="00181512" w:rsidP="00181512">
            <w:pPr>
              <w:contextualSpacing/>
              <w:jc w:val="both"/>
            </w:pPr>
            <w:r w:rsidRPr="00BD1837">
              <w:t>10.1. Ліквідувати Ревізійну комісію Товариства.</w:t>
            </w:r>
          </w:p>
        </w:tc>
      </w:tr>
      <w:tr w:rsidR="00082749" w:rsidRPr="00BD1837" w14:paraId="06070B4E" w14:textId="77777777" w:rsidTr="007F1A67">
        <w:tc>
          <w:tcPr>
            <w:tcW w:w="562" w:type="dxa"/>
            <w:vAlign w:val="center"/>
          </w:tcPr>
          <w:p w14:paraId="069E3CB4" w14:textId="01521066" w:rsidR="00082749" w:rsidRPr="00BD1837" w:rsidRDefault="00181512" w:rsidP="00082749">
            <w:pPr>
              <w:spacing w:before="120" w:after="120"/>
              <w:jc w:val="center"/>
              <w:rPr>
                <w:color w:val="000000"/>
              </w:rPr>
            </w:pPr>
            <w:r w:rsidRPr="00BD1837">
              <w:rPr>
                <w:color w:val="000000"/>
              </w:rPr>
              <w:lastRenderedPageBreak/>
              <w:t>11</w:t>
            </w:r>
            <w:r w:rsidR="00082749" w:rsidRPr="00BD1837">
              <w:rPr>
                <w:color w:val="000000"/>
              </w:rPr>
              <w:t>.</w:t>
            </w:r>
          </w:p>
        </w:tc>
        <w:tc>
          <w:tcPr>
            <w:tcW w:w="3515" w:type="dxa"/>
            <w:vAlign w:val="center"/>
          </w:tcPr>
          <w:p w14:paraId="7F8B7617" w14:textId="4DE0888B" w:rsidR="00082749" w:rsidRPr="00BD1837" w:rsidRDefault="00082749" w:rsidP="00082749">
            <w:pPr>
              <w:widowControl w:val="0"/>
              <w:autoSpaceDE w:val="0"/>
              <w:autoSpaceDN w:val="0"/>
              <w:adjustRightInd w:val="0"/>
              <w:jc w:val="both"/>
              <w:rPr>
                <w:bCs/>
              </w:rPr>
            </w:pPr>
            <w:r w:rsidRPr="00BD1837">
              <w:rPr>
                <w:color w:val="000000"/>
              </w:rPr>
              <w:t>Про попереднє надання згоди на вчинення Товариством значних правочинів.</w:t>
            </w:r>
          </w:p>
        </w:tc>
        <w:tc>
          <w:tcPr>
            <w:tcW w:w="5692" w:type="dxa"/>
            <w:vAlign w:val="center"/>
          </w:tcPr>
          <w:p w14:paraId="22A2DC4C" w14:textId="794A589B" w:rsidR="00082749" w:rsidRPr="00BD1837" w:rsidRDefault="00082749" w:rsidP="00181512">
            <w:pPr>
              <w:pStyle w:val="a3"/>
              <w:numPr>
                <w:ilvl w:val="1"/>
                <w:numId w:val="9"/>
              </w:numPr>
              <w:autoSpaceDE w:val="0"/>
              <w:autoSpaceDN w:val="0"/>
              <w:ind w:left="488"/>
              <w:jc w:val="both"/>
              <w:rPr>
                <w:lang w:val="uk-UA"/>
              </w:rPr>
            </w:pPr>
            <w:r w:rsidRPr="00BD1837">
              <w:rPr>
                <w:color w:val="000000"/>
                <w:lang w:val="uk-UA" w:eastAsia="en-US"/>
              </w:rPr>
              <w:t xml:space="preserve">Попередньо схвалити вчинення Товариством в ході звичайної поточної господарської діяльності протягом одного року з дня проведення цих Загальних зборів Товариства наступних значних правочинів, вчинення яких Статутом Товариства віднесено до компетенції Загальних зборів Товариства та предметом яких є: </w:t>
            </w:r>
          </w:p>
          <w:p w14:paraId="5CEA1212" w14:textId="77777777" w:rsidR="00082749" w:rsidRPr="00BD1837" w:rsidRDefault="00082749" w:rsidP="00082749">
            <w:pPr>
              <w:pStyle w:val="a3"/>
              <w:numPr>
                <w:ilvl w:val="0"/>
                <w:numId w:val="7"/>
              </w:numPr>
              <w:autoSpaceDE w:val="0"/>
              <w:autoSpaceDN w:val="0"/>
              <w:ind w:left="884" w:hanging="396"/>
              <w:jc w:val="both"/>
              <w:rPr>
                <w:lang w:val="uk-UA"/>
              </w:rPr>
            </w:pPr>
            <w:r w:rsidRPr="00BD1837">
              <w:rPr>
                <w:color w:val="000000"/>
                <w:lang w:val="uk-UA" w:eastAsia="en-US"/>
              </w:rPr>
              <w:t>надання Товариством поворотної безпроцентної фінансової допомоги та / або поворотної процентної фінансової допомоги на загальну граничну суму неповерненої заборгованості за всіма такими правочинами одночасно не більше 1 000 000 000 (один мільярд) доларів США або еквівалента цієї суми у будь-якій валюті, визначеного за офіційним курсом Національного банку України на дату вчинення правочину, компанії DTEK B.V. або іншим юридичним особам, в яких DTEK B.V. прямо або опосередковано є власником акцій та ∕ або інших корпоративних прав, та які включені до переліку Активів DTEK B.V. або переліку Контрольованих активів DTEK B.V., затверджених Загальними зборами акціонерів DTEK B.V.;</w:t>
            </w:r>
          </w:p>
          <w:p w14:paraId="1AC41ACD" w14:textId="77777777" w:rsidR="00082749" w:rsidRPr="00BD1837" w:rsidRDefault="00082749" w:rsidP="00082749">
            <w:pPr>
              <w:pStyle w:val="a3"/>
              <w:numPr>
                <w:ilvl w:val="0"/>
                <w:numId w:val="7"/>
              </w:numPr>
              <w:autoSpaceDE w:val="0"/>
              <w:autoSpaceDN w:val="0"/>
              <w:ind w:left="884" w:hanging="396"/>
              <w:jc w:val="both"/>
              <w:rPr>
                <w:lang w:val="uk-UA"/>
              </w:rPr>
            </w:pPr>
            <w:r w:rsidRPr="00BD1837">
              <w:rPr>
                <w:color w:val="000000"/>
                <w:lang w:val="uk-UA" w:eastAsia="en-US"/>
              </w:rPr>
              <w:t xml:space="preserve">отримання Товариством поворотної безпроцентної фінансової допомоги, та/або поворотної процентної фінансової допомоги на загальну граничну суму неповерненої заборгованості за всіма такими правочинами одночасно не більше 1 000 000 000 (один мільярд) доларів США або еквівалента цієї суми у будь-якій валюті, визначеного за офіційним курсом Національного банку України на дату вчинення правочину, від компанії DTEK B.V. або інших юридичних осіб, в яких DTEK B.V. прямо або опосередковано є власником акцій та ∕ або інших корпоративних прав, та які включені до переліку Активів DTEK B.V. або переліку Контрольованих активів DTEK B.V., затверджених Загальними зборами акціонерів DTEK B.V.; </w:t>
            </w:r>
          </w:p>
          <w:p w14:paraId="7044F147" w14:textId="77777777" w:rsidR="00082749" w:rsidRPr="00BD1837" w:rsidRDefault="00082749" w:rsidP="00082749">
            <w:pPr>
              <w:pStyle w:val="a3"/>
              <w:numPr>
                <w:ilvl w:val="0"/>
                <w:numId w:val="7"/>
              </w:numPr>
              <w:autoSpaceDE w:val="0"/>
              <w:autoSpaceDN w:val="0"/>
              <w:ind w:left="884" w:hanging="396"/>
              <w:jc w:val="both"/>
              <w:rPr>
                <w:lang w:val="uk-UA"/>
              </w:rPr>
            </w:pPr>
            <w:r w:rsidRPr="00BD1837">
              <w:rPr>
                <w:color w:val="000000"/>
                <w:lang w:val="uk-UA" w:eastAsia="en-US"/>
              </w:rPr>
              <w:t xml:space="preserve">надання Товариством безповоротної  фінансової допомоги на загальну граничну суму неповерненої заборгованості за всіма такими правочинами одночасно не більше 100 000 000 (сто мільйонів) доларів США або еквівалента цієї суми у будь-якій валюті, визначеного за офіційним курсом Національного банку України на дату вчинення правочину, компанії DTEK B.V. або іншим юридичним особам, в яких DTEK B.V. прямо або </w:t>
            </w:r>
            <w:r w:rsidRPr="00BD1837">
              <w:rPr>
                <w:color w:val="000000"/>
                <w:lang w:val="uk-UA" w:eastAsia="en-US"/>
              </w:rPr>
              <w:lastRenderedPageBreak/>
              <w:t>опосередковано є власником акцій та ∕ або інших корпоративних прав, та які включені до переліку Активів DTEK B.V. або переліку Контрольованих активів DTEK B.V., затверджених Загальними зборами акціонерів DTEK B.V.;</w:t>
            </w:r>
          </w:p>
          <w:p w14:paraId="1FE92396" w14:textId="77777777" w:rsidR="00082749" w:rsidRPr="00BD1837" w:rsidRDefault="00082749" w:rsidP="00082749">
            <w:pPr>
              <w:pStyle w:val="a3"/>
              <w:numPr>
                <w:ilvl w:val="0"/>
                <w:numId w:val="7"/>
              </w:numPr>
              <w:autoSpaceDE w:val="0"/>
              <w:autoSpaceDN w:val="0"/>
              <w:ind w:left="884" w:hanging="396"/>
              <w:jc w:val="both"/>
              <w:rPr>
                <w:lang w:val="uk-UA"/>
              </w:rPr>
            </w:pPr>
            <w:r w:rsidRPr="00BD1837">
              <w:rPr>
                <w:color w:val="000000"/>
                <w:lang w:val="uk-UA" w:eastAsia="en-US"/>
              </w:rPr>
              <w:t xml:space="preserve">отримання Товариством безповоротної  фінансової допомоги на загальну граничну суму неповерненої заборгованості за всіма такими правочинами одночасно не більше 100 000 000 (сто мільйонів) доларів США або еквівалента цієї суми у будь-якій валюті, визначеного за офіційним курсом Національного банку України на дату вчинення правочину, від компанії DTEK B.V. або інших юридичних осіб, в яких DTEK B.V. прямо або опосередковано є власником акцій та ∕ або інших корпоративних прав, та які включені до переліку Активів DTEK B.V. або переліку Контрольованих активів DTEK B.V., затверджених Загальними зборами акціонерів DTEK B.V.; </w:t>
            </w:r>
          </w:p>
          <w:p w14:paraId="4E06EF75" w14:textId="77777777" w:rsidR="00082749" w:rsidRPr="00BD1837" w:rsidRDefault="00082749" w:rsidP="00082749">
            <w:pPr>
              <w:pStyle w:val="a3"/>
              <w:numPr>
                <w:ilvl w:val="0"/>
                <w:numId w:val="7"/>
              </w:numPr>
              <w:autoSpaceDE w:val="0"/>
              <w:autoSpaceDN w:val="0"/>
              <w:ind w:left="884" w:hanging="396"/>
              <w:jc w:val="both"/>
              <w:rPr>
                <w:lang w:val="uk-UA"/>
              </w:rPr>
            </w:pPr>
            <w:r w:rsidRPr="00BD1837">
              <w:rPr>
                <w:color w:val="000000"/>
                <w:lang w:val="uk-UA" w:eastAsia="en-US"/>
              </w:rPr>
              <w:t>отримання Товариством фінансових позик та/або кредитів від компанії DTEK B.V. або інших юридичних осіб, в яких DTEK B.V. прямо або опосередковано є власником акцій та ∕ або інших корпоративних прав, та які включені до переліку Активів DTEK B.V. або переліку Контрольованих активів DTEK B.V., затверджених Загальними зборами акціонерів DTEK B.V. або від інших осіб, що можуть бути заінтересовані у вчиненні Товариством такого правочину відповідно до законодавства, чинного на дату вчинення такого правочину, для фінансування поповнення обігових коштів Товариства на загальну граничну суму всіх таких правочинів не більше 100 000 000 (сто мільйонів) доларів США або еквівалент цієї суми у будь-якій валюті, визначений за офіційним курсом Національного банку України на дату вчинення правочину;</w:t>
            </w:r>
          </w:p>
          <w:p w14:paraId="7B1D3DA8" w14:textId="77777777" w:rsidR="00082749" w:rsidRPr="00BD1837" w:rsidRDefault="00082749" w:rsidP="00082749">
            <w:pPr>
              <w:pStyle w:val="a3"/>
              <w:numPr>
                <w:ilvl w:val="0"/>
                <w:numId w:val="7"/>
              </w:numPr>
              <w:autoSpaceDE w:val="0"/>
              <w:autoSpaceDN w:val="0"/>
              <w:ind w:left="884" w:hanging="396"/>
              <w:jc w:val="both"/>
              <w:rPr>
                <w:lang w:val="uk-UA"/>
              </w:rPr>
            </w:pPr>
            <w:r w:rsidRPr="00BD1837">
              <w:rPr>
                <w:color w:val="000000"/>
                <w:lang w:val="uk-UA" w:eastAsia="en-US"/>
              </w:rPr>
              <w:t>розміщення Товариством тимчасово вільних коштів, у разі їх виникнення, на відповідних депозитних рахунках у банківських установах на загальну граничну суму одночасно не більше 500 000 000 (п’ятсот мільйонів) доларів США або еквівалента цієї суми у будь-якій валюті, визначеного за офіційним курсом Національного банку України на дату вчинення відповідного правочину.</w:t>
            </w:r>
          </w:p>
          <w:p w14:paraId="183B29A9" w14:textId="0169C96E" w:rsidR="00082749" w:rsidRPr="00BD1837" w:rsidRDefault="00082749" w:rsidP="00181512">
            <w:pPr>
              <w:pStyle w:val="a3"/>
              <w:numPr>
                <w:ilvl w:val="1"/>
                <w:numId w:val="9"/>
              </w:numPr>
              <w:autoSpaceDE w:val="0"/>
              <w:autoSpaceDN w:val="0"/>
              <w:ind w:left="488"/>
              <w:jc w:val="both"/>
              <w:rPr>
                <w:lang w:val="uk-UA"/>
              </w:rPr>
            </w:pPr>
            <w:r w:rsidRPr="00BD1837">
              <w:rPr>
                <w:color w:val="000000"/>
                <w:lang w:val="uk-UA" w:eastAsia="en-US"/>
              </w:rPr>
              <w:t xml:space="preserve">Встановити, що вартість правочинів, рішення щодо вчинення яких приймаються Виконавчим </w:t>
            </w:r>
            <w:r w:rsidRPr="00BD1837">
              <w:rPr>
                <w:color w:val="000000"/>
                <w:lang w:val="uk-UA" w:eastAsia="en-US"/>
              </w:rPr>
              <w:lastRenderedPageBreak/>
              <w:t xml:space="preserve">органом Товариства та/або Наглядовою радою Товариства в межах своєї компетенції, встановленої Статутом Товариства, не включається до граничної сукупної вартості правочинів, передбачених пунктом </w:t>
            </w:r>
            <w:r w:rsidR="00181512" w:rsidRPr="00BD1837">
              <w:rPr>
                <w:color w:val="000000"/>
                <w:lang w:val="uk-UA" w:eastAsia="en-US"/>
              </w:rPr>
              <w:t>11</w:t>
            </w:r>
            <w:r w:rsidRPr="00BD1837">
              <w:rPr>
                <w:color w:val="000000"/>
                <w:lang w:val="uk-UA" w:eastAsia="en-US"/>
              </w:rPr>
              <w:t>.1.</w:t>
            </w:r>
          </w:p>
          <w:p w14:paraId="243E531B" w14:textId="7A8CB8C5" w:rsidR="00082749" w:rsidRPr="00BD1837" w:rsidRDefault="00082749" w:rsidP="00181512">
            <w:pPr>
              <w:pStyle w:val="a3"/>
              <w:numPr>
                <w:ilvl w:val="1"/>
                <w:numId w:val="9"/>
              </w:numPr>
              <w:autoSpaceDE w:val="0"/>
              <w:autoSpaceDN w:val="0"/>
              <w:ind w:left="488"/>
              <w:jc w:val="both"/>
              <w:rPr>
                <w:lang w:val="uk-UA"/>
              </w:rPr>
            </w:pPr>
            <w:r w:rsidRPr="00BD1837">
              <w:rPr>
                <w:color w:val="000000"/>
                <w:lang w:val="uk-UA" w:eastAsia="en-US"/>
              </w:rPr>
              <w:t xml:space="preserve">Встановити, що за рішенням Виконавчого органу Товариства Товариство має право вчиняти правочини, передбачені пунктом </w:t>
            </w:r>
            <w:r w:rsidR="00181512" w:rsidRPr="00BD1837">
              <w:rPr>
                <w:color w:val="000000"/>
                <w:lang w:val="uk-UA" w:eastAsia="en-US"/>
              </w:rPr>
              <w:t>11</w:t>
            </w:r>
            <w:r w:rsidRPr="00BD1837">
              <w:rPr>
                <w:color w:val="000000"/>
                <w:lang w:val="uk-UA" w:eastAsia="en-US"/>
              </w:rPr>
              <w:t>.1, щодо яких Загальними зборами Товариства прийнято рішення про їх попереднє схвалення, без отримання додаткового погодження Наглядової ради Товариства.</w:t>
            </w:r>
          </w:p>
        </w:tc>
      </w:tr>
    </w:tbl>
    <w:p w14:paraId="2CEA7640" w14:textId="77777777" w:rsidR="00181512" w:rsidRPr="00BD1837" w:rsidRDefault="00181512" w:rsidP="00B3442C">
      <w:pPr>
        <w:spacing w:after="120"/>
        <w:jc w:val="both"/>
      </w:pPr>
    </w:p>
    <w:p w14:paraId="40A54BAA" w14:textId="35717533" w:rsidR="00B3442C" w:rsidRPr="00BD1837" w:rsidRDefault="00B3442C" w:rsidP="00B3442C">
      <w:pPr>
        <w:spacing w:after="120"/>
        <w:jc w:val="both"/>
      </w:pPr>
      <w:r w:rsidRPr="00BD1837">
        <w:t xml:space="preserve">Перелік акціонерів </w:t>
      </w:r>
      <w:r w:rsidR="00181512" w:rsidRPr="00BD1837">
        <w:t>АТ «ОДЕСАОБЛЕНЕРГО»</w:t>
      </w:r>
      <w:r w:rsidRPr="00BD1837">
        <w:t xml:space="preserve">, які мають право на участь у </w:t>
      </w:r>
      <w:r w:rsidR="00B14621" w:rsidRPr="00BD1837">
        <w:t>позачергових</w:t>
      </w:r>
      <w:r w:rsidRPr="00BD1837">
        <w:t xml:space="preserve"> Загальних зборах Товариства, призначених на </w:t>
      </w:r>
      <w:r w:rsidR="00181512" w:rsidRPr="00BD1837">
        <w:t>31</w:t>
      </w:r>
      <w:r w:rsidRPr="00BD1837">
        <w:t xml:space="preserve"> </w:t>
      </w:r>
      <w:r w:rsidR="00B14621" w:rsidRPr="00BD1837">
        <w:t>липня</w:t>
      </w:r>
      <w:r w:rsidRPr="00BD1837">
        <w:t xml:space="preserve"> 2019 року, складається станом на 24 годину </w:t>
      </w:r>
      <w:r w:rsidR="00181512" w:rsidRPr="00BD1837">
        <w:t>25</w:t>
      </w:r>
      <w:r w:rsidRPr="00BD1837">
        <w:t xml:space="preserve"> </w:t>
      </w:r>
      <w:r w:rsidR="00C81D3B" w:rsidRPr="00BD1837">
        <w:t>липня</w:t>
      </w:r>
      <w:r w:rsidRPr="00BD1837">
        <w:t xml:space="preserve"> 2019 року.</w:t>
      </w:r>
    </w:p>
    <w:p w14:paraId="40A54BAB" w14:textId="60DF0190" w:rsidR="00B3442C" w:rsidRPr="00BD1837" w:rsidRDefault="00B3442C" w:rsidP="00B3442C">
      <w:pPr>
        <w:spacing w:after="120"/>
        <w:jc w:val="both"/>
      </w:pPr>
      <w:r w:rsidRPr="00BD1837">
        <w:rPr>
          <w:color w:val="000000"/>
        </w:rPr>
        <w:t>Д</w:t>
      </w:r>
      <w:r w:rsidRPr="00BD1837">
        <w:t xml:space="preserve">ата </w:t>
      </w:r>
      <w:r w:rsidRPr="00BD1837">
        <w:rPr>
          <w:color w:val="000000"/>
        </w:rPr>
        <w:t xml:space="preserve">складання переліку акціонерів </w:t>
      </w:r>
      <w:r w:rsidR="00181512" w:rsidRPr="00BD1837">
        <w:t>АТ «ОДЕСАОБЛЕНЕРГО»</w:t>
      </w:r>
      <w:r w:rsidRPr="00BD1837">
        <w:rPr>
          <w:color w:val="000000"/>
        </w:rPr>
        <w:t xml:space="preserve"> для здійснення персонального повідомлення про проведення </w:t>
      </w:r>
      <w:r w:rsidR="00181512" w:rsidRPr="00BD1837">
        <w:t>31</w:t>
      </w:r>
      <w:r w:rsidR="00B14621" w:rsidRPr="00BD1837">
        <w:t xml:space="preserve"> липня 2019 року</w:t>
      </w:r>
      <w:r w:rsidR="00B14621" w:rsidRPr="00BD1837">
        <w:rPr>
          <w:color w:val="000000"/>
        </w:rPr>
        <w:t xml:space="preserve"> позачергових</w:t>
      </w:r>
      <w:r w:rsidRPr="00BD1837">
        <w:rPr>
          <w:color w:val="000000"/>
        </w:rPr>
        <w:t xml:space="preserve"> Загальних зборів Товариства – </w:t>
      </w:r>
      <w:r w:rsidR="00C81D3B" w:rsidRPr="00BD1837">
        <w:t>20 червня 2019 року</w:t>
      </w:r>
      <w:r w:rsidRPr="00BD1837">
        <w:t xml:space="preserve">. </w:t>
      </w:r>
    </w:p>
    <w:p w14:paraId="40A54BAC" w14:textId="0133D0FF" w:rsidR="00B3442C" w:rsidRPr="00BD1837" w:rsidRDefault="00B3442C" w:rsidP="00B3442C">
      <w:pPr>
        <w:spacing w:after="120"/>
        <w:jc w:val="both"/>
        <w:rPr>
          <w:i/>
          <w:color w:val="000000"/>
        </w:rPr>
      </w:pPr>
      <w:r w:rsidRPr="00BD1837">
        <w:t xml:space="preserve">Реєстрація учасників </w:t>
      </w:r>
      <w:r w:rsidR="00C81D3B" w:rsidRPr="00BD1837">
        <w:t>позачергових</w:t>
      </w:r>
      <w:r w:rsidRPr="00BD1837">
        <w:t xml:space="preserve"> Загальних зборів Товариства буде здійснюватися Реєстраційною комісією </w:t>
      </w:r>
      <w:r w:rsidR="00181512" w:rsidRPr="00BD1837">
        <w:t>АТ «ОДЕСАОБЛЕНЕРГО»</w:t>
      </w:r>
      <w:r w:rsidRPr="00BD1837">
        <w:t xml:space="preserve"> </w:t>
      </w:r>
      <w:r w:rsidR="00181512" w:rsidRPr="00BD1837">
        <w:t>31</w:t>
      </w:r>
      <w:r w:rsidR="00C81D3B" w:rsidRPr="00BD1837">
        <w:t xml:space="preserve"> липня 2019 року </w:t>
      </w:r>
      <w:r w:rsidRPr="00BD1837">
        <w:t xml:space="preserve">з </w:t>
      </w:r>
      <w:r w:rsidR="00027DC7" w:rsidRPr="00BD1837">
        <w:t>09</w:t>
      </w:r>
      <w:r w:rsidRPr="00BD1837">
        <w:t xml:space="preserve"> год. 00 хв. до </w:t>
      </w:r>
      <w:r w:rsidR="00027DC7" w:rsidRPr="00BD1837">
        <w:t>09</w:t>
      </w:r>
      <w:r w:rsidRPr="00BD1837">
        <w:t xml:space="preserve"> </w:t>
      </w:r>
      <w:r w:rsidR="00027DC7" w:rsidRPr="00BD1837">
        <w:t> </w:t>
      </w:r>
      <w:r w:rsidRPr="00BD1837">
        <w:t xml:space="preserve">год. </w:t>
      </w:r>
      <w:r w:rsidR="00181512" w:rsidRPr="00BD1837">
        <w:t>5</w:t>
      </w:r>
      <w:r w:rsidR="00027DC7" w:rsidRPr="00BD1837">
        <w:t>5</w:t>
      </w:r>
      <w:r w:rsidRPr="00BD1837">
        <w:t xml:space="preserve"> хв. за </w:t>
      </w:r>
      <w:r w:rsidR="00027DC7" w:rsidRPr="00BD1837">
        <w:t>адресою</w:t>
      </w:r>
      <w:r w:rsidRPr="00BD1837">
        <w:t xml:space="preserve">: </w:t>
      </w:r>
      <w:r w:rsidR="00181512" w:rsidRPr="00BD1837">
        <w:rPr>
          <w:spacing w:val="-6"/>
        </w:rPr>
        <w:t>65031, Одеська обл., місто Одеса, Малиновський район, вулиця Миколи Боровського, будинок 28 "Б", 1-й поверх, кімната 135</w:t>
      </w:r>
      <w:r w:rsidRPr="00BD1837">
        <w:rPr>
          <w:color w:val="000000"/>
        </w:rPr>
        <w:t>.</w:t>
      </w:r>
    </w:p>
    <w:p w14:paraId="40A54BAD" w14:textId="77777777" w:rsidR="00B3442C" w:rsidRPr="00BD1837" w:rsidRDefault="00B3442C" w:rsidP="00B3442C">
      <w:pPr>
        <w:spacing w:after="120"/>
        <w:jc w:val="both"/>
        <w:rPr>
          <w:color w:val="000000"/>
        </w:rPr>
      </w:pPr>
      <w:r w:rsidRPr="00BD1837">
        <w:rPr>
          <w:color w:val="000000"/>
        </w:rPr>
        <w:t>Для реєстрації для участі в зборах акціонерам Товариства необхідно мати при собі паспорт, представникам акціонерів - паспорт і довіреність, оформлену згідно з вимогами чинного законодавства України.</w:t>
      </w:r>
    </w:p>
    <w:p w14:paraId="40A54BAE" w14:textId="77777777" w:rsidR="00B3442C" w:rsidRPr="00BD1837" w:rsidRDefault="00B3442C" w:rsidP="00B3442C">
      <w:pPr>
        <w:spacing w:after="120"/>
        <w:jc w:val="both"/>
        <w:rPr>
          <w:color w:val="000000"/>
        </w:rPr>
      </w:pPr>
      <w:r w:rsidRPr="00BD1837">
        <w:rPr>
          <w:color w:val="000000"/>
        </w:rPr>
        <w:t>Порядок участі та голосування на Загальних зборах Товариства за довіреністю відбувається відповідно до ст. 39 Закону України «Про акціонерні товариства» та Статуту Товариства.</w:t>
      </w:r>
    </w:p>
    <w:p w14:paraId="40A54BAF" w14:textId="1431C7A9" w:rsidR="00B3442C" w:rsidRPr="00BD1837" w:rsidRDefault="00B3442C" w:rsidP="00B3442C">
      <w:pPr>
        <w:spacing w:after="200"/>
        <w:jc w:val="both"/>
      </w:pPr>
      <w:r w:rsidRPr="00BD1837">
        <w:t>Права, надані акціонерам відповідно до вимог статті 36 Закону України «Про акціонерні товариства», якими вони можуть користуватися після отримання повідомлення про проведення Загальних зборів, а також строк, протягом якого такі права можуть використовуватися: акціонери Товариства та їх повноважні представники можуть ознайомитися з документами,</w:t>
      </w:r>
      <w:r w:rsidRPr="00BD1837">
        <w:rPr>
          <w:i/>
        </w:rPr>
        <w:t xml:space="preserve"> </w:t>
      </w:r>
      <w:r w:rsidRPr="00BD1837">
        <w:t xml:space="preserve">необхідними для прийняття рішень з питань порядку денного </w:t>
      </w:r>
      <w:r w:rsidR="00C81D3B" w:rsidRPr="00BD1837">
        <w:t>позачергових</w:t>
      </w:r>
      <w:r w:rsidRPr="00BD1837">
        <w:t xml:space="preserve"> Загальних зборів Товариства, за адресою: </w:t>
      </w:r>
      <w:r w:rsidR="00181512" w:rsidRPr="00BD1837">
        <w:rPr>
          <w:spacing w:val="-6"/>
        </w:rPr>
        <w:t xml:space="preserve">65031, Одеська обл., місто Одеса, Малиновський район, вулиця Миколи Боровського, будинок 28 "Б", </w:t>
      </w:r>
      <w:r w:rsidR="00F4335D" w:rsidRPr="00BD1837">
        <w:rPr>
          <w:spacing w:val="-6"/>
        </w:rPr>
        <w:t>3</w:t>
      </w:r>
      <w:r w:rsidR="00181512" w:rsidRPr="00BD1837">
        <w:rPr>
          <w:spacing w:val="-6"/>
        </w:rPr>
        <w:t xml:space="preserve">-й поверх, кімната </w:t>
      </w:r>
      <w:r w:rsidR="00F4335D" w:rsidRPr="00BD1837">
        <w:rPr>
          <w:spacing w:val="-6"/>
        </w:rPr>
        <w:t>325</w:t>
      </w:r>
      <w:r w:rsidR="00027DC7" w:rsidRPr="00BD1837">
        <w:t xml:space="preserve">, </w:t>
      </w:r>
      <w:r w:rsidRPr="00BD1837">
        <w:t>у робочі дні з 0</w:t>
      </w:r>
      <w:r w:rsidR="00027DC7" w:rsidRPr="00BD1837">
        <w:t>8</w:t>
      </w:r>
      <w:r w:rsidRPr="00BD1837">
        <w:t>:00 до 16:00 (перерва з 12:00 до 1</w:t>
      </w:r>
      <w:r w:rsidR="00F4335D" w:rsidRPr="00BD1837">
        <w:t>3</w:t>
      </w:r>
      <w:r w:rsidRPr="00BD1837">
        <w:t>:</w:t>
      </w:r>
      <w:r w:rsidR="00F4335D" w:rsidRPr="00BD1837">
        <w:t>00</w:t>
      </w:r>
      <w:r w:rsidRPr="00BD1837">
        <w:t xml:space="preserve">). </w:t>
      </w:r>
      <w:r w:rsidRPr="00BD1837">
        <w:rPr>
          <w:color w:val="000000"/>
        </w:rPr>
        <w:t xml:space="preserve">У день проведення </w:t>
      </w:r>
      <w:r w:rsidR="00C81D3B" w:rsidRPr="00BD1837">
        <w:rPr>
          <w:color w:val="000000"/>
        </w:rPr>
        <w:t>позачергових</w:t>
      </w:r>
      <w:r w:rsidRPr="00BD1837">
        <w:rPr>
          <w:color w:val="000000"/>
        </w:rPr>
        <w:t xml:space="preserve"> Загальних зборів Товариства ознайомитися з документами можна за місцем проведення </w:t>
      </w:r>
      <w:r w:rsidR="00C81D3B" w:rsidRPr="00BD1837">
        <w:rPr>
          <w:color w:val="000000"/>
        </w:rPr>
        <w:t>позачергових</w:t>
      </w:r>
      <w:r w:rsidRPr="00BD1837">
        <w:rPr>
          <w:color w:val="000000"/>
        </w:rPr>
        <w:t xml:space="preserve"> Загальних зборів Товариства. Посадова особа </w:t>
      </w:r>
      <w:r w:rsidR="00F4335D" w:rsidRPr="00BD1837">
        <w:t>АТ «ОДЕСАОБЛЕНЕРГО»</w:t>
      </w:r>
      <w:r w:rsidRPr="00BD1837">
        <w:rPr>
          <w:color w:val="000000"/>
        </w:rPr>
        <w:t>, відповідальна за порядок ознайомлення акціонерів з документами –</w:t>
      </w:r>
      <w:r w:rsidR="00F4335D" w:rsidRPr="00BD1837">
        <w:rPr>
          <w:color w:val="000000"/>
        </w:rPr>
        <w:t xml:space="preserve"> начальник відділу управління корпоративними правами </w:t>
      </w:r>
      <w:r w:rsidR="00F4335D" w:rsidRPr="00BD1837">
        <w:t>Пославська Наталія Яківна</w:t>
      </w:r>
      <w:r w:rsidRPr="00BD1837">
        <w:rPr>
          <w:color w:val="000000"/>
        </w:rPr>
        <w:t xml:space="preserve">, </w:t>
      </w:r>
      <w:r w:rsidRPr="00BD1837">
        <w:t>тел. (04</w:t>
      </w:r>
      <w:r w:rsidR="00F4335D" w:rsidRPr="00BD1837">
        <w:t>8</w:t>
      </w:r>
      <w:r w:rsidRPr="00BD1837">
        <w:t xml:space="preserve">) </w:t>
      </w:r>
      <w:r w:rsidR="00F4335D" w:rsidRPr="00BD1837">
        <w:t>705</w:t>
      </w:r>
      <w:r w:rsidRPr="00BD1837">
        <w:t>-</w:t>
      </w:r>
      <w:r w:rsidR="00F4335D" w:rsidRPr="00BD1837">
        <w:t>20</w:t>
      </w:r>
      <w:r w:rsidRPr="00BD1837">
        <w:t>-</w:t>
      </w:r>
      <w:r w:rsidR="00F4335D" w:rsidRPr="00BD1837">
        <w:t>56</w:t>
      </w:r>
      <w:r w:rsidRPr="00BD1837">
        <w:t>.</w:t>
      </w:r>
    </w:p>
    <w:p w14:paraId="40A54BB0" w14:textId="695738C8" w:rsidR="00B3442C" w:rsidRPr="00BD1837" w:rsidRDefault="00B3442C" w:rsidP="00B3442C">
      <w:pPr>
        <w:spacing w:after="120"/>
        <w:jc w:val="both"/>
        <w:rPr>
          <w:color w:val="000000"/>
        </w:rPr>
      </w:pPr>
      <w:r w:rsidRPr="00BD1837">
        <w:rPr>
          <w:color w:val="000000"/>
        </w:rPr>
        <w:t xml:space="preserve">Для ознайомлення з документами, </w:t>
      </w:r>
      <w:r w:rsidRPr="00BD1837">
        <w:t xml:space="preserve">необхідними для прийняття рішень з питань порядку денного </w:t>
      </w:r>
      <w:r w:rsidR="00C81D3B" w:rsidRPr="00BD1837">
        <w:t>позачергових</w:t>
      </w:r>
      <w:r w:rsidRPr="00BD1837">
        <w:t xml:space="preserve"> Загальних зборів Товариства,</w:t>
      </w:r>
      <w:r w:rsidRPr="00BD1837">
        <w:rPr>
          <w:color w:val="000000"/>
        </w:rPr>
        <w:t xml:space="preserve"> акціонер або його повноважний представник за відповідною довіреністю має звернутися </w:t>
      </w:r>
      <w:r w:rsidR="003D56ED" w:rsidRPr="00BD1837">
        <w:t xml:space="preserve">за адресою місцезнаходження Товариства: </w:t>
      </w:r>
      <w:r w:rsidR="00F4335D" w:rsidRPr="00BD1837">
        <w:rPr>
          <w:spacing w:val="-6"/>
        </w:rPr>
        <w:t>65031, Одеська обл., місто Одеса, Малиновський район, вулиця Миколи Боровського, будинок 28 "Б", 3-й поверх, кімната 325</w:t>
      </w:r>
      <w:r w:rsidR="003D56ED" w:rsidRPr="00BD1837">
        <w:t>, у робочі дні з 08:00 до 16:00 (перерва з 12:00 до 1</w:t>
      </w:r>
      <w:r w:rsidR="00F4335D" w:rsidRPr="00BD1837">
        <w:t>3</w:t>
      </w:r>
      <w:r w:rsidR="003D56ED" w:rsidRPr="00BD1837">
        <w:t>:</w:t>
      </w:r>
      <w:r w:rsidR="00F4335D" w:rsidRPr="00BD1837">
        <w:t>00</w:t>
      </w:r>
      <w:r w:rsidR="003D56ED" w:rsidRPr="00BD1837">
        <w:t>)</w:t>
      </w:r>
      <w:r w:rsidRPr="00BD1837">
        <w:rPr>
          <w:color w:val="000000"/>
        </w:rPr>
        <w:t xml:space="preserve"> із письмовою заявою на ім’я </w:t>
      </w:r>
      <w:r w:rsidR="00F4335D" w:rsidRPr="00BD1837">
        <w:rPr>
          <w:color w:val="000000"/>
        </w:rPr>
        <w:t>Голови Правління</w:t>
      </w:r>
      <w:r w:rsidRPr="00BD1837">
        <w:rPr>
          <w:color w:val="000000"/>
        </w:rPr>
        <w:t xml:space="preserve"> Товариства.</w:t>
      </w:r>
    </w:p>
    <w:p w14:paraId="40A54BB1" w14:textId="77777777" w:rsidR="00B3442C" w:rsidRPr="00BD1837" w:rsidRDefault="00B3442C" w:rsidP="00B3442C">
      <w:pPr>
        <w:spacing w:after="120"/>
        <w:jc w:val="both"/>
      </w:pPr>
      <w:r w:rsidRPr="00BD1837">
        <w:t xml:space="preserve">На письмові запитання акціонерів щодо питань, включених до порядку денного Загальних зборів, Товариство надає письмову відповідь акціонеру протягом 10 днів з моменту отримання запитання, але в будь-якому випадку до початку Загальних зборів. На письмові запитання акціонерів однакового змісту Товариство може надати одну загальну відповідь, яка повинна </w:t>
      </w:r>
      <w:r w:rsidRPr="00BD1837">
        <w:lastRenderedPageBreak/>
        <w:t>бути доступна акціонерам для ознайомлення в день проведення Загальних зборів перед початком роботи скликаних Загальних зборів за місцем проведення Загальних зборів.</w:t>
      </w:r>
    </w:p>
    <w:p w14:paraId="523EFFF0" w14:textId="77B91ABA" w:rsidR="00AD49D2" w:rsidRPr="00BD1837" w:rsidRDefault="00F4335D" w:rsidP="00B3442C">
      <w:pPr>
        <w:spacing w:after="120"/>
        <w:jc w:val="both"/>
      </w:pPr>
      <w:r w:rsidRPr="00BD1837">
        <w:t xml:space="preserve">Кожний акціонер має право внести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в порядку, передбаченому </w:t>
      </w:r>
      <w:r w:rsidRPr="00BD1837">
        <w:rPr>
          <w:color w:val="000000"/>
        </w:rPr>
        <w:t>ст. 38 Закону України «Про акціонерні товариства» та Статутом Товариства</w:t>
      </w:r>
      <w:r w:rsidR="00AD49D2" w:rsidRPr="00BD1837">
        <w:t>.</w:t>
      </w:r>
    </w:p>
    <w:p w14:paraId="40A54BB3" w14:textId="468C3989" w:rsidR="00B3442C" w:rsidRPr="00BD1837" w:rsidRDefault="00B3442C" w:rsidP="00B3442C">
      <w:pPr>
        <w:spacing w:after="120"/>
        <w:jc w:val="both"/>
      </w:pPr>
      <w:r w:rsidRPr="00BD1837">
        <w:t xml:space="preserve">Загальна кількість акцій Товариства складає </w:t>
      </w:r>
      <w:r w:rsidR="00F4335D" w:rsidRPr="00BD1837">
        <w:rPr>
          <w:b/>
        </w:rPr>
        <w:t>608 495 560</w:t>
      </w:r>
      <w:r w:rsidR="00F4335D" w:rsidRPr="00BD1837">
        <w:t xml:space="preserve"> </w:t>
      </w:r>
      <w:r w:rsidRPr="00BD1837">
        <w:t xml:space="preserve">шт., загальна кількість голосуючих акцій Товариства станом на дату складення переліку осіб, яким надсилається повідомлення про проведення Загальних зборів Товариства, складає </w:t>
      </w:r>
      <w:r w:rsidR="00F4335D" w:rsidRPr="00BD1837">
        <w:rPr>
          <w:b/>
        </w:rPr>
        <w:t>582 784 111</w:t>
      </w:r>
      <w:r w:rsidR="00AD49D2" w:rsidRPr="00BD1837">
        <w:t xml:space="preserve"> шт</w:t>
      </w:r>
      <w:r w:rsidRPr="00BD1837">
        <w:t>.</w:t>
      </w:r>
    </w:p>
    <w:p w14:paraId="40A54BB4" w14:textId="57DADE70" w:rsidR="00B3442C" w:rsidRPr="00BD1837" w:rsidRDefault="00B3442C" w:rsidP="00B3442C">
      <w:pPr>
        <w:spacing w:after="120"/>
        <w:jc w:val="both"/>
      </w:pPr>
      <w:r w:rsidRPr="00BD1837">
        <w:t xml:space="preserve">Адреса власного веб-сайту, на якому розміщена інформація з проектом рішень щодо кожного з питань, включених до порядку денного </w:t>
      </w:r>
      <w:r w:rsidR="00AD49D2" w:rsidRPr="00BD1837">
        <w:t>позачергових</w:t>
      </w:r>
      <w:r w:rsidRPr="00BD1837">
        <w:t xml:space="preserve"> Загальних зборів Товариства, а також інша інформація відповідно до ч. 4 ст. 35 Закону України «Про акціонерні товариства»: </w:t>
      </w:r>
      <w:r w:rsidR="00F4335D" w:rsidRPr="00BD1837">
        <w:rPr>
          <w:b/>
        </w:rPr>
        <w:t>https://oblenergo.odessa.ua/</w:t>
      </w:r>
      <w:r w:rsidRPr="00BD1837">
        <w:t>.</w:t>
      </w:r>
    </w:p>
    <w:p w14:paraId="40A54BB5" w14:textId="0E1D90CD" w:rsidR="00B3442C" w:rsidRPr="00BD1837" w:rsidRDefault="00B3442C" w:rsidP="00B3442C">
      <w:pPr>
        <w:spacing w:after="120"/>
        <w:jc w:val="both"/>
      </w:pPr>
      <w:r w:rsidRPr="00BD1837">
        <w:rPr>
          <w:color w:val="000000"/>
        </w:rPr>
        <w:t>За інформацією звертатися за телефоно</w:t>
      </w:r>
      <w:r w:rsidRPr="00BD1837">
        <w:t xml:space="preserve">м: </w:t>
      </w:r>
      <w:r w:rsidR="00F4335D" w:rsidRPr="00BD1837">
        <w:t>(048) 705-20-56</w:t>
      </w:r>
      <w:r w:rsidRPr="00BD1837">
        <w:t>.</w:t>
      </w:r>
    </w:p>
    <w:p w14:paraId="40A54BF7" w14:textId="19690BD0" w:rsidR="00B3442C" w:rsidRPr="00BD1837" w:rsidRDefault="00B3442C" w:rsidP="00B3442C">
      <w:pPr>
        <w:rPr>
          <w:b/>
        </w:rPr>
      </w:pPr>
      <w:r w:rsidRPr="00BD1837">
        <w:rPr>
          <w:b/>
        </w:rPr>
        <w:t xml:space="preserve">Наглядова рада </w:t>
      </w:r>
      <w:r w:rsidR="00BD1837" w:rsidRPr="00BD1837">
        <w:rPr>
          <w:b/>
          <w:color w:val="000000"/>
        </w:rPr>
        <w:t>АТ «ОДЕСАОБЛЕНЕРГО»</w:t>
      </w:r>
      <w:r w:rsidRPr="00BD1837">
        <w:rPr>
          <w:b/>
        </w:rPr>
        <w:t>.</w:t>
      </w:r>
    </w:p>
    <w:p w14:paraId="40A54BF8" w14:textId="77777777" w:rsidR="00024032" w:rsidRPr="00BD1837" w:rsidRDefault="00024032"/>
    <w:sectPr w:rsidR="00024032" w:rsidRPr="00BD1837" w:rsidSect="00B3442C">
      <w:headerReference w:type="default" r:id="rId10"/>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A3F33" w14:textId="77777777" w:rsidR="00B9467C" w:rsidRDefault="00B9467C" w:rsidP="00ED4E23">
      <w:r>
        <w:separator/>
      </w:r>
    </w:p>
  </w:endnote>
  <w:endnote w:type="continuationSeparator" w:id="0">
    <w:p w14:paraId="2043C232" w14:textId="77777777" w:rsidR="00B9467C" w:rsidRDefault="00B9467C" w:rsidP="00ED4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80062" w14:textId="77777777" w:rsidR="00B9467C" w:rsidRDefault="00B9467C" w:rsidP="00ED4E23">
      <w:r>
        <w:separator/>
      </w:r>
    </w:p>
  </w:footnote>
  <w:footnote w:type="continuationSeparator" w:id="0">
    <w:p w14:paraId="2E457C5B" w14:textId="77777777" w:rsidR="00B9467C" w:rsidRDefault="00B9467C" w:rsidP="00ED4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54BFD" w14:textId="77777777" w:rsidR="00ED4E23" w:rsidRDefault="00ED4E2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65BAB"/>
    <w:multiLevelType w:val="multilevel"/>
    <w:tmpl w:val="CF40771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8FE409C"/>
    <w:multiLevelType w:val="hybridMultilevel"/>
    <w:tmpl w:val="BBAE9C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351DF7"/>
    <w:multiLevelType w:val="multilevel"/>
    <w:tmpl w:val="7FA42F94"/>
    <w:lvl w:ilvl="0">
      <w:start w:val="11"/>
      <w:numFmt w:val="decimal"/>
      <w:lvlText w:val="%1."/>
      <w:lvlJc w:val="left"/>
      <w:pPr>
        <w:ind w:left="480" w:hanging="480"/>
      </w:pPr>
      <w:rPr>
        <w:rFonts w:hint="default"/>
        <w:color w:val="000000"/>
      </w:rPr>
    </w:lvl>
    <w:lvl w:ilvl="1">
      <w:start w:val="1"/>
      <w:numFmt w:val="decimal"/>
      <w:lvlText w:val="%1.%2."/>
      <w:lvlJc w:val="left"/>
      <w:pPr>
        <w:ind w:left="968" w:hanging="480"/>
      </w:pPr>
      <w:rPr>
        <w:rFonts w:hint="default"/>
        <w:color w:val="000000"/>
      </w:rPr>
    </w:lvl>
    <w:lvl w:ilvl="2">
      <w:start w:val="1"/>
      <w:numFmt w:val="decimal"/>
      <w:lvlText w:val="%1.%2.%3."/>
      <w:lvlJc w:val="left"/>
      <w:pPr>
        <w:ind w:left="1696" w:hanging="720"/>
      </w:pPr>
      <w:rPr>
        <w:rFonts w:hint="default"/>
        <w:color w:val="000000"/>
      </w:rPr>
    </w:lvl>
    <w:lvl w:ilvl="3">
      <w:start w:val="1"/>
      <w:numFmt w:val="decimal"/>
      <w:lvlText w:val="%1.%2.%3.%4."/>
      <w:lvlJc w:val="left"/>
      <w:pPr>
        <w:ind w:left="2184" w:hanging="720"/>
      </w:pPr>
      <w:rPr>
        <w:rFonts w:hint="default"/>
        <w:color w:val="000000"/>
      </w:rPr>
    </w:lvl>
    <w:lvl w:ilvl="4">
      <w:start w:val="1"/>
      <w:numFmt w:val="decimal"/>
      <w:lvlText w:val="%1.%2.%3.%4.%5."/>
      <w:lvlJc w:val="left"/>
      <w:pPr>
        <w:ind w:left="3032" w:hanging="1080"/>
      </w:pPr>
      <w:rPr>
        <w:rFonts w:hint="default"/>
        <w:color w:val="000000"/>
      </w:rPr>
    </w:lvl>
    <w:lvl w:ilvl="5">
      <w:start w:val="1"/>
      <w:numFmt w:val="decimal"/>
      <w:lvlText w:val="%1.%2.%3.%4.%5.%6."/>
      <w:lvlJc w:val="left"/>
      <w:pPr>
        <w:ind w:left="3520" w:hanging="1080"/>
      </w:pPr>
      <w:rPr>
        <w:rFonts w:hint="default"/>
        <w:color w:val="000000"/>
      </w:rPr>
    </w:lvl>
    <w:lvl w:ilvl="6">
      <w:start w:val="1"/>
      <w:numFmt w:val="decimal"/>
      <w:lvlText w:val="%1.%2.%3.%4.%5.%6.%7."/>
      <w:lvlJc w:val="left"/>
      <w:pPr>
        <w:ind w:left="4368" w:hanging="1440"/>
      </w:pPr>
      <w:rPr>
        <w:rFonts w:hint="default"/>
        <w:color w:val="000000"/>
      </w:rPr>
    </w:lvl>
    <w:lvl w:ilvl="7">
      <w:start w:val="1"/>
      <w:numFmt w:val="decimal"/>
      <w:lvlText w:val="%1.%2.%3.%4.%5.%6.%7.%8."/>
      <w:lvlJc w:val="left"/>
      <w:pPr>
        <w:ind w:left="4856" w:hanging="1440"/>
      </w:pPr>
      <w:rPr>
        <w:rFonts w:hint="default"/>
        <w:color w:val="000000"/>
      </w:rPr>
    </w:lvl>
    <w:lvl w:ilvl="8">
      <w:start w:val="1"/>
      <w:numFmt w:val="decimal"/>
      <w:lvlText w:val="%1.%2.%3.%4.%5.%6.%7.%8.%9."/>
      <w:lvlJc w:val="left"/>
      <w:pPr>
        <w:ind w:left="5704" w:hanging="1800"/>
      </w:pPr>
      <w:rPr>
        <w:rFonts w:hint="default"/>
        <w:color w:val="000000"/>
      </w:rPr>
    </w:lvl>
  </w:abstractNum>
  <w:abstractNum w:abstractNumId="3" w15:restartNumberingAfterBreak="0">
    <w:nsid w:val="3A9B7D34"/>
    <w:multiLevelType w:val="multilevel"/>
    <w:tmpl w:val="04406182"/>
    <w:lvl w:ilvl="0">
      <w:start w:val="4"/>
      <w:numFmt w:val="decimal"/>
      <w:lvlText w:val="%1."/>
      <w:lvlJc w:val="left"/>
      <w:pPr>
        <w:ind w:left="360" w:hanging="360"/>
      </w:pPr>
      <w:rPr>
        <w:rFonts w:hint="default"/>
        <w:color w:val="000000"/>
        <w:sz w:val="24"/>
      </w:rPr>
    </w:lvl>
    <w:lvl w:ilvl="1">
      <w:start w:val="1"/>
      <w:numFmt w:val="decimal"/>
      <w:lvlText w:val="%1.%2."/>
      <w:lvlJc w:val="left"/>
      <w:pPr>
        <w:ind w:left="360" w:hanging="36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080" w:hanging="108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440" w:hanging="1440"/>
      </w:pPr>
      <w:rPr>
        <w:rFonts w:hint="default"/>
        <w:color w:val="000000"/>
        <w:sz w:val="24"/>
      </w:rPr>
    </w:lvl>
  </w:abstractNum>
  <w:abstractNum w:abstractNumId="4" w15:restartNumberingAfterBreak="0">
    <w:nsid w:val="3B8943A8"/>
    <w:multiLevelType w:val="multilevel"/>
    <w:tmpl w:val="2E94502E"/>
    <w:lvl w:ilvl="0">
      <w:start w:val="14"/>
      <w:numFmt w:val="decimal"/>
      <w:lvlText w:val="%1."/>
      <w:lvlJc w:val="left"/>
      <w:pPr>
        <w:ind w:left="405" w:hanging="405"/>
      </w:pPr>
    </w:lvl>
    <w:lvl w:ilvl="1">
      <w:start w:val="1"/>
      <w:numFmt w:val="decimal"/>
      <w:lvlText w:val="7.%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4B8B5E80"/>
    <w:multiLevelType w:val="multilevel"/>
    <w:tmpl w:val="209A02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C9C0E1F"/>
    <w:multiLevelType w:val="hybridMultilevel"/>
    <w:tmpl w:val="E1D2D56C"/>
    <w:lvl w:ilvl="0" w:tplc="D3109FA2">
      <w:start w:val="1"/>
      <w:numFmt w:val="lowerRoman"/>
      <w:lvlText w:val="(%1)"/>
      <w:lvlJc w:val="left"/>
      <w:pPr>
        <w:ind w:left="1287" w:hanging="360"/>
      </w:pPr>
      <w:rPr>
        <w:rFonts w:ascii="Arial" w:hAnsi="Arial" w:cs="Arial" w:hint="default"/>
        <w:sz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5EED7166"/>
    <w:multiLevelType w:val="multilevel"/>
    <w:tmpl w:val="28406F3A"/>
    <w:lvl w:ilvl="0">
      <w:start w:val="2"/>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5"/>
  </w:num>
  <w:num w:numId="2">
    <w:abstractNumId w:val="1"/>
  </w:num>
  <w:num w:numId="3">
    <w:abstractNumId w:val="6"/>
  </w:num>
  <w:num w:numId="4">
    <w:abstractNumId w:val="0"/>
  </w:num>
  <w:num w:numId="5">
    <w:abstractNumId w:val="7"/>
  </w:num>
  <w:num w:numId="6">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CA9"/>
    <w:rsid w:val="00024032"/>
    <w:rsid w:val="00027DC7"/>
    <w:rsid w:val="00082749"/>
    <w:rsid w:val="00175538"/>
    <w:rsid w:val="00181512"/>
    <w:rsid w:val="00200153"/>
    <w:rsid w:val="00274AAC"/>
    <w:rsid w:val="00293EC5"/>
    <w:rsid w:val="003D56ED"/>
    <w:rsid w:val="004F1153"/>
    <w:rsid w:val="007D78C8"/>
    <w:rsid w:val="007F1A67"/>
    <w:rsid w:val="00825550"/>
    <w:rsid w:val="00934E9A"/>
    <w:rsid w:val="009C0CA9"/>
    <w:rsid w:val="00A64220"/>
    <w:rsid w:val="00AD49D2"/>
    <w:rsid w:val="00B14621"/>
    <w:rsid w:val="00B3442C"/>
    <w:rsid w:val="00B9467C"/>
    <w:rsid w:val="00BD1837"/>
    <w:rsid w:val="00C81D3B"/>
    <w:rsid w:val="00CD6E2D"/>
    <w:rsid w:val="00ED4E23"/>
    <w:rsid w:val="00F4335D"/>
    <w:rsid w:val="00F44D8E"/>
    <w:rsid w:val="00F46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54B6A"/>
  <w15:chartTrackingRefBased/>
  <w15:docId w15:val="{701358FD-4D13-4A4B-9127-FE54C7B5D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442C"/>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3442C"/>
    <w:pPr>
      <w:ind w:left="708"/>
    </w:pPr>
    <w:rPr>
      <w:lang w:val="ru-RU" w:eastAsia="ru-RU"/>
    </w:rPr>
  </w:style>
  <w:style w:type="table" w:styleId="a5">
    <w:name w:val="Table Grid"/>
    <w:basedOn w:val="a1"/>
    <w:uiPriority w:val="59"/>
    <w:rsid w:val="00B3442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у Знак"/>
    <w:basedOn w:val="a0"/>
    <w:link w:val="a3"/>
    <w:uiPriority w:val="34"/>
    <w:locked/>
    <w:rsid w:val="00B3442C"/>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ED4E23"/>
    <w:pPr>
      <w:tabs>
        <w:tab w:val="center" w:pos="4677"/>
        <w:tab w:val="right" w:pos="9355"/>
      </w:tabs>
    </w:pPr>
  </w:style>
  <w:style w:type="character" w:customStyle="1" w:styleId="a7">
    <w:name w:val="Верхній колонтитул Знак"/>
    <w:basedOn w:val="a0"/>
    <w:link w:val="a6"/>
    <w:uiPriority w:val="99"/>
    <w:rsid w:val="00ED4E23"/>
    <w:rPr>
      <w:rFonts w:ascii="Times New Roman" w:eastAsia="Times New Roman" w:hAnsi="Times New Roman" w:cs="Times New Roman"/>
      <w:sz w:val="24"/>
      <w:szCs w:val="24"/>
      <w:lang w:val="uk-UA" w:eastAsia="uk-UA"/>
    </w:rPr>
  </w:style>
  <w:style w:type="paragraph" w:styleId="a8">
    <w:name w:val="footer"/>
    <w:basedOn w:val="a"/>
    <w:link w:val="a9"/>
    <w:uiPriority w:val="99"/>
    <w:unhideWhenUsed/>
    <w:rsid w:val="00ED4E23"/>
    <w:pPr>
      <w:tabs>
        <w:tab w:val="center" w:pos="4677"/>
        <w:tab w:val="right" w:pos="9355"/>
      </w:tabs>
    </w:pPr>
  </w:style>
  <w:style w:type="character" w:customStyle="1" w:styleId="a9">
    <w:name w:val="Нижній колонтитул Знак"/>
    <w:basedOn w:val="a0"/>
    <w:link w:val="a8"/>
    <w:uiPriority w:val="99"/>
    <w:rsid w:val="00ED4E23"/>
    <w:rPr>
      <w:rFonts w:ascii="Times New Roman" w:eastAsia="Times New Roman" w:hAnsi="Times New Roman" w:cs="Times New Roman"/>
      <w:sz w:val="24"/>
      <w:szCs w:val="24"/>
      <w:lang w:val="uk-UA" w:eastAsia="uk-UA"/>
    </w:rPr>
  </w:style>
  <w:style w:type="paragraph" w:styleId="aa">
    <w:name w:val="Balloon Text"/>
    <w:basedOn w:val="a"/>
    <w:link w:val="ab"/>
    <w:uiPriority w:val="99"/>
    <w:semiHidden/>
    <w:unhideWhenUsed/>
    <w:rsid w:val="00CD6E2D"/>
    <w:rPr>
      <w:rFonts w:ascii="Segoe UI" w:hAnsi="Segoe UI" w:cs="Segoe UI"/>
      <w:sz w:val="18"/>
      <w:szCs w:val="18"/>
    </w:rPr>
  </w:style>
  <w:style w:type="character" w:customStyle="1" w:styleId="ab">
    <w:name w:val="Текст у виносці Знак"/>
    <w:basedOn w:val="a0"/>
    <w:link w:val="aa"/>
    <w:uiPriority w:val="99"/>
    <w:semiHidden/>
    <w:rsid w:val="00CD6E2D"/>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59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12AB2A3B51A5948A2350510F08AA459" ma:contentTypeVersion="1" ma:contentTypeDescription="Создание документа." ma:contentTypeScope="" ma:versionID="e8274c001aca2c144cba41d3f0b29437">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5BE6BC-2490-411D-9774-1D7495117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E6298D-0883-4ECE-ACD8-DEA065E87D25}">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07ECDD0-E178-4A6D-9D30-09E3EA5FB1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11251</Words>
  <Characters>6414</Characters>
  <Application>Microsoft Office Word</Application>
  <DocSecurity>0</DocSecurity>
  <Lines>53</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Pertsev Denis</dc:creator>
  <cp:keywords/>
  <dc:description/>
  <cp:lastModifiedBy>yulia</cp:lastModifiedBy>
  <cp:revision>2</cp:revision>
  <cp:lastPrinted>2019-07-01T07:55:00Z</cp:lastPrinted>
  <dcterms:created xsi:type="dcterms:W3CDTF">2019-07-01T07:56:00Z</dcterms:created>
  <dcterms:modified xsi:type="dcterms:W3CDTF">2019-07-01T07:56:00Z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0x010100712AB2A3B51A5948A2350510F08AA459</vt:lpwstr>
  </property>
</Properties>
</file>