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25" w:rsidRDefault="008C3425" w:rsidP="008C3425">
      <w:pPr>
        <w:jc w:val="center"/>
        <w:rPr>
          <w:b/>
          <w:sz w:val="20"/>
          <w:szCs w:val="20"/>
          <w:u w:val="single"/>
          <w:lang w:val="uk-UA"/>
        </w:rPr>
      </w:pPr>
    </w:p>
    <w:p w:rsidR="008C3425" w:rsidRPr="00873341" w:rsidRDefault="008C3425" w:rsidP="008C3425">
      <w:pPr>
        <w:jc w:val="center"/>
        <w:rPr>
          <w:b/>
          <w:sz w:val="20"/>
          <w:szCs w:val="20"/>
          <w:u w:val="single"/>
          <w:lang w:val="uk-UA"/>
        </w:rPr>
      </w:pPr>
      <w:bookmarkStart w:id="0" w:name="_GoBack"/>
      <w:bookmarkEnd w:id="0"/>
      <w:r w:rsidRPr="00873341">
        <w:rPr>
          <w:b/>
          <w:sz w:val="20"/>
          <w:szCs w:val="20"/>
          <w:u w:val="single"/>
          <w:lang w:val="uk-UA"/>
        </w:rPr>
        <w:t>ПОВІДОМЛЕННЯ</w:t>
      </w:r>
    </w:p>
    <w:p w:rsidR="008C3425" w:rsidRPr="00873341" w:rsidRDefault="008C3425" w:rsidP="008C3425">
      <w:pPr>
        <w:jc w:val="center"/>
        <w:rPr>
          <w:b/>
          <w:sz w:val="20"/>
          <w:szCs w:val="20"/>
          <w:lang w:val="uk-UA"/>
        </w:rPr>
      </w:pPr>
      <w:r w:rsidRPr="00873341">
        <w:rPr>
          <w:b/>
          <w:sz w:val="20"/>
          <w:szCs w:val="20"/>
          <w:lang w:val="uk-UA"/>
        </w:rPr>
        <w:t xml:space="preserve">про проведення </w:t>
      </w:r>
      <w:r w:rsidRPr="00873341">
        <w:rPr>
          <w:b/>
          <w:color w:val="4F6228"/>
          <w:sz w:val="20"/>
          <w:szCs w:val="20"/>
          <w:lang w:val="uk-UA"/>
        </w:rPr>
        <w:t>річних</w:t>
      </w:r>
      <w:r w:rsidRPr="00873341">
        <w:rPr>
          <w:b/>
          <w:sz w:val="20"/>
          <w:szCs w:val="20"/>
          <w:lang w:val="uk-UA"/>
        </w:rPr>
        <w:t xml:space="preserve"> Загальних зборів акціонерів</w:t>
      </w:r>
    </w:p>
    <w:p w:rsidR="008C3425" w:rsidRPr="00ED308C" w:rsidRDefault="008C3425" w:rsidP="008C3425">
      <w:pPr>
        <w:jc w:val="center"/>
        <w:rPr>
          <w:b/>
          <w:sz w:val="14"/>
          <w:szCs w:val="14"/>
          <w:lang w:val="uk-UA"/>
        </w:rPr>
      </w:pPr>
    </w:p>
    <w:p w:rsidR="008C3425" w:rsidRPr="00EE720A" w:rsidRDefault="008C3425" w:rsidP="008C3425">
      <w:pPr>
        <w:ind w:firstLine="426"/>
        <w:jc w:val="both"/>
        <w:rPr>
          <w:sz w:val="20"/>
          <w:szCs w:val="20"/>
          <w:lang w:val="uk-UA"/>
        </w:rPr>
      </w:pPr>
      <w:r w:rsidRPr="00EE720A">
        <w:rPr>
          <w:b/>
          <w:sz w:val="20"/>
          <w:szCs w:val="20"/>
          <w:lang w:val="uk-UA"/>
        </w:rPr>
        <w:t xml:space="preserve">Акціонерне товариство «Оператор газорозподільної системи «ХАРКІВМІСЬКГАЗ» </w:t>
      </w:r>
      <w:r w:rsidRPr="00EE720A">
        <w:rPr>
          <w:sz w:val="20"/>
          <w:szCs w:val="20"/>
          <w:lang w:val="uk-UA"/>
        </w:rPr>
        <w:t xml:space="preserve">(надалі – «Товариство»), місцезнаходження якого: 61004, Україна, Харківська обл., м. Харків, вул. </w:t>
      </w:r>
      <w:proofErr w:type="spellStart"/>
      <w:r w:rsidRPr="00EE720A">
        <w:rPr>
          <w:sz w:val="20"/>
          <w:szCs w:val="20"/>
          <w:lang w:val="uk-UA"/>
        </w:rPr>
        <w:t>Москалівська</w:t>
      </w:r>
      <w:proofErr w:type="spellEnd"/>
      <w:r w:rsidRPr="00EE720A">
        <w:rPr>
          <w:sz w:val="20"/>
          <w:szCs w:val="20"/>
          <w:lang w:val="uk-UA"/>
        </w:rPr>
        <w:t xml:space="preserve">, буд. 57/59, повідомляє про проведення Загальних зборів акціонерів Товариства (надалі – «Загальні збори Товариства») </w:t>
      </w:r>
      <w:r w:rsidRPr="00EE720A">
        <w:rPr>
          <w:b/>
          <w:sz w:val="20"/>
          <w:szCs w:val="20"/>
          <w:lang w:val="uk-UA"/>
        </w:rPr>
        <w:t>01 квітня 2020 року</w:t>
      </w:r>
      <w:r w:rsidRPr="00EE720A">
        <w:rPr>
          <w:sz w:val="20"/>
          <w:szCs w:val="20"/>
          <w:lang w:val="uk-UA"/>
        </w:rPr>
        <w:t xml:space="preserve"> о </w:t>
      </w:r>
      <w:r w:rsidRPr="00EE720A">
        <w:rPr>
          <w:b/>
          <w:sz w:val="20"/>
          <w:szCs w:val="20"/>
          <w:lang w:val="uk-UA"/>
        </w:rPr>
        <w:t>09.30</w:t>
      </w:r>
      <w:r w:rsidRPr="00EE720A">
        <w:rPr>
          <w:sz w:val="20"/>
          <w:szCs w:val="20"/>
          <w:lang w:val="uk-UA"/>
        </w:rPr>
        <w:t xml:space="preserve"> годині за </w:t>
      </w:r>
      <w:proofErr w:type="spellStart"/>
      <w:r w:rsidRPr="00EE720A">
        <w:rPr>
          <w:sz w:val="20"/>
          <w:szCs w:val="20"/>
          <w:lang w:val="uk-UA"/>
        </w:rPr>
        <w:t>адресою</w:t>
      </w:r>
      <w:proofErr w:type="spellEnd"/>
      <w:r w:rsidRPr="00EE720A">
        <w:rPr>
          <w:sz w:val="20"/>
          <w:szCs w:val="20"/>
          <w:lang w:val="uk-UA"/>
        </w:rPr>
        <w:t xml:space="preserve">: м. Харків, вул. </w:t>
      </w:r>
      <w:proofErr w:type="spellStart"/>
      <w:r w:rsidRPr="00EE720A">
        <w:rPr>
          <w:sz w:val="20"/>
          <w:szCs w:val="20"/>
          <w:lang w:val="uk-UA"/>
        </w:rPr>
        <w:t>Москалівська</w:t>
      </w:r>
      <w:proofErr w:type="spellEnd"/>
      <w:r w:rsidRPr="00EE720A">
        <w:rPr>
          <w:sz w:val="20"/>
          <w:szCs w:val="20"/>
          <w:lang w:val="uk-UA"/>
        </w:rPr>
        <w:t>,  буд. 57/59  (в актовому залі Товариства).</w:t>
      </w:r>
    </w:p>
    <w:p w:rsidR="008C3425" w:rsidRPr="00EE720A" w:rsidRDefault="008C3425" w:rsidP="008C3425">
      <w:pPr>
        <w:ind w:firstLine="426"/>
        <w:jc w:val="both"/>
        <w:rPr>
          <w:sz w:val="20"/>
          <w:szCs w:val="20"/>
          <w:lang w:val="uk-UA"/>
        </w:rPr>
      </w:pPr>
      <w:r w:rsidRPr="00EE720A">
        <w:rPr>
          <w:sz w:val="20"/>
          <w:szCs w:val="20"/>
          <w:lang w:val="uk-UA"/>
        </w:rPr>
        <w:t xml:space="preserve">Реєстрація акціонерів для участі у Загальних зборах Товариства буде здійснюватися в день проведення зборів за вищевказаною </w:t>
      </w:r>
      <w:proofErr w:type="spellStart"/>
      <w:r w:rsidRPr="00EE720A">
        <w:rPr>
          <w:sz w:val="20"/>
          <w:szCs w:val="20"/>
          <w:lang w:val="uk-UA"/>
        </w:rPr>
        <w:t>адресою</w:t>
      </w:r>
      <w:proofErr w:type="spellEnd"/>
      <w:r w:rsidRPr="00EE720A">
        <w:rPr>
          <w:sz w:val="20"/>
          <w:szCs w:val="20"/>
          <w:lang w:val="uk-UA"/>
        </w:rPr>
        <w:t>, початок реєстрації - о</w:t>
      </w:r>
      <w:r w:rsidRPr="00EE720A">
        <w:rPr>
          <w:b/>
          <w:sz w:val="20"/>
          <w:szCs w:val="20"/>
          <w:lang w:val="uk-UA"/>
        </w:rPr>
        <w:t xml:space="preserve"> 09.00, </w:t>
      </w:r>
      <w:r w:rsidRPr="00EE720A">
        <w:rPr>
          <w:sz w:val="20"/>
          <w:szCs w:val="20"/>
          <w:lang w:val="uk-UA"/>
        </w:rPr>
        <w:t xml:space="preserve">закінчення реєстрації </w:t>
      </w:r>
      <w:r w:rsidRPr="00EE720A">
        <w:rPr>
          <w:b/>
          <w:sz w:val="20"/>
          <w:szCs w:val="20"/>
          <w:lang w:val="uk-UA"/>
        </w:rPr>
        <w:t xml:space="preserve">- </w:t>
      </w:r>
      <w:r w:rsidRPr="00EE720A">
        <w:rPr>
          <w:sz w:val="20"/>
          <w:szCs w:val="20"/>
          <w:lang w:val="uk-UA"/>
        </w:rPr>
        <w:t>о</w:t>
      </w:r>
      <w:r w:rsidRPr="00EE720A">
        <w:rPr>
          <w:b/>
          <w:sz w:val="20"/>
          <w:szCs w:val="20"/>
          <w:lang w:val="uk-UA"/>
        </w:rPr>
        <w:t xml:space="preserve"> 09.20</w:t>
      </w:r>
      <w:r w:rsidRPr="00EE720A">
        <w:rPr>
          <w:sz w:val="20"/>
          <w:szCs w:val="20"/>
          <w:lang w:val="uk-UA"/>
        </w:rPr>
        <w:t>.</w:t>
      </w:r>
    </w:p>
    <w:p w:rsidR="008C3425" w:rsidRPr="00EE720A" w:rsidRDefault="008C3425" w:rsidP="008C3425">
      <w:pPr>
        <w:ind w:firstLine="426"/>
        <w:jc w:val="both"/>
        <w:rPr>
          <w:sz w:val="20"/>
          <w:szCs w:val="20"/>
          <w:lang w:val="uk-UA"/>
        </w:rPr>
      </w:pPr>
      <w:r w:rsidRPr="00EE720A">
        <w:rPr>
          <w:sz w:val="20"/>
          <w:szCs w:val="20"/>
          <w:lang w:val="uk-UA"/>
        </w:rPr>
        <w:t>Дата складення переліку акціонерів, які мають право на участь у Загальних зборах Товариства - 26 березня 2020 р.</w:t>
      </w:r>
    </w:p>
    <w:p w:rsidR="008C3425" w:rsidRPr="00873341" w:rsidRDefault="008C3425" w:rsidP="008C3425">
      <w:pPr>
        <w:jc w:val="center"/>
        <w:rPr>
          <w:b/>
          <w:sz w:val="10"/>
          <w:szCs w:val="10"/>
          <w:lang w:val="uk-UA"/>
        </w:rPr>
      </w:pPr>
    </w:p>
    <w:p w:rsidR="008C3425" w:rsidRPr="00EE720A" w:rsidRDefault="008C3425" w:rsidP="008C3425">
      <w:pPr>
        <w:shd w:val="clear" w:color="auto" w:fill="FFFFFF"/>
        <w:tabs>
          <w:tab w:val="left" w:pos="355"/>
        </w:tabs>
        <w:jc w:val="center"/>
        <w:rPr>
          <w:b/>
          <w:spacing w:val="-14"/>
          <w:sz w:val="22"/>
          <w:szCs w:val="22"/>
          <w:lang w:val="uk-UA"/>
        </w:rPr>
      </w:pPr>
      <w:r w:rsidRPr="00EE720A">
        <w:rPr>
          <w:b/>
          <w:spacing w:val="-14"/>
          <w:sz w:val="22"/>
          <w:szCs w:val="22"/>
          <w:lang w:val="uk-UA"/>
        </w:rPr>
        <w:t>Перелік питань разом з проектами рішень, включених до проекту порядку денного Загальних зборів Товариства:</w:t>
      </w:r>
    </w:p>
    <w:p w:rsidR="008C3425" w:rsidRPr="00EE720A" w:rsidRDefault="008C3425" w:rsidP="008C3425">
      <w:pPr>
        <w:suppressAutoHyphens/>
        <w:ind w:firstLine="426"/>
        <w:jc w:val="both"/>
        <w:rPr>
          <w:sz w:val="10"/>
          <w:szCs w:val="10"/>
          <w:shd w:val="clear" w:color="auto" w:fill="FFFFFF"/>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1. Обрання Лічильної комісії Загальних зборів Товариства.</w:t>
            </w:r>
          </w:p>
          <w:p w:rsidR="008C3425" w:rsidRPr="00EE720A" w:rsidRDefault="008C3425" w:rsidP="007432C1">
            <w:pPr>
              <w:jc w:val="both"/>
              <w:rPr>
                <w:sz w:val="20"/>
                <w:szCs w:val="20"/>
                <w:lang w:val="uk-UA"/>
              </w:rPr>
            </w:pPr>
            <w:r w:rsidRPr="00EE720A">
              <w:rPr>
                <w:sz w:val="20"/>
                <w:szCs w:val="20"/>
                <w:lang w:val="uk-UA"/>
              </w:rPr>
              <w:t>1. Обрати Лічильну комісію Загальних зборів Товариства в наступному складі:</w:t>
            </w:r>
          </w:p>
          <w:p w:rsidR="008C3425" w:rsidRPr="00EE720A" w:rsidRDefault="008C3425" w:rsidP="007432C1">
            <w:pPr>
              <w:suppressAutoHyphens/>
              <w:ind w:left="284" w:hanging="284"/>
              <w:jc w:val="both"/>
              <w:rPr>
                <w:sz w:val="20"/>
                <w:szCs w:val="20"/>
                <w:lang w:val="uk-UA"/>
              </w:rPr>
            </w:pPr>
            <w:r w:rsidRPr="00EE720A">
              <w:rPr>
                <w:sz w:val="20"/>
                <w:szCs w:val="20"/>
                <w:lang w:val="uk-UA"/>
              </w:rPr>
              <w:t>- Терещенко Ніна Петрівна - Голова Лічильної комісії;</w:t>
            </w:r>
          </w:p>
          <w:p w:rsidR="008C3425" w:rsidRPr="00EE720A" w:rsidRDefault="008C3425" w:rsidP="007432C1">
            <w:pPr>
              <w:suppressAutoHyphens/>
              <w:ind w:left="284" w:hanging="284"/>
              <w:jc w:val="both"/>
              <w:rPr>
                <w:sz w:val="20"/>
                <w:szCs w:val="20"/>
                <w:lang w:val="uk-UA"/>
              </w:rPr>
            </w:pPr>
            <w:r w:rsidRPr="00EE720A">
              <w:rPr>
                <w:sz w:val="20"/>
                <w:szCs w:val="20"/>
                <w:lang w:val="uk-UA"/>
              </w:rPr>
              <w:t>- Корж Альона Олександрівна - член Лічильної комісії;</w:t>
            </w:r>
          </w:p>
          <w:p w:rsidR="008C3425" w:rsidRPr="00EE720A" w:rsidRDefault="008C3425" w:rsidP="007432C1">
            <w:pPr>
              <w:suppressAutoHyphens/>
              <w:ind w:left="284" w:hanging="284"/>
              <w:jc w:val="both"/>
              <w:rPr>
                <w:sz w:val="20"/>
                <w:szCs w:val="20"/>
                <w:lang w:val="uk-UA"/>
              </w:rPr>
            </w:pPr>
            <w:r w:rsidRPr="00EE720A">
              <w:rPr>
                <w:sz w:val="20"/>
                <w:szCs w:val="20"/>
                <w:lang w:val="uk-UA"/>
              </w:rPr>
              <w:t>- Ребенок Анна Вікторівна - член Лічильної комісії.</w:t>
            </w:r>
          </w:p>
          <w:p w:rsidR="008C3425" w:rsidRPr="00EE720A" w:rsidRDefault="008C3425" w:rsidP="007432C1">
            <w:pPr>
              <w:suppressAutoHyphens/>
              <w:ind w:left="284" w:hanging="284"/>
              <w:jc w:val="both"/>
              <w:rPr>
                <w:sz w:val="20"/>
                <w:szCs w:val="20"/>
                <w:lang w:val="uk-UA"/>
              </w:rPr>
            </w:pPr>
            <w:r w:rsidRPr="00EE720A">
              <w:rPr>
                <w:sz w:val="20"/>
                <w:szCs w:val="20"/>
                <w:lang w:val="uk-UA"/>
              </w:rPr>
              <w:t xml:space="preserve">2. Повноваження обраної Лічильної комісії діють до закінчення цих Загальних зборів Товариства.  </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 xml:space="preserve">2. Обрання Голови та секретаря Загальних зборів Товариства. </w:t>
            </w:r>
          </w:p>
          <w:p w:rsidR="008C3425" w:rsidRPr="00EE720A" w:rsidRDefault="008C3425" w:rsidP="007432C1">
            <w:pPr>
              <w:jc w:val="both"/>
              <w:rPr>
                <w:sz w:val="20"/>
                <w:szCs w:val="20"/>
                <w:lang w:val="uk-UA"/>
              </w:rPr>
            </w:pPr>
            <w:r w:rsidRPr="00EE720A">
              <w:rPr>
                <w:sz w:val="20"/>
                <w:szCs w:val="20"/>
                <w:lang w:val="uk-UA"/>
              </w:rPr>
              <w:t xml:space="preserve">1. Обрати Головою Загальних зборів Товариства – </w:t>
            </w:r>
            <w:proofErr w:type="spellStart"/>
            <w:r w:rsidRPr="00EE720A">
              <w:rPr>
                <w:sz w:val="20"/>
                <w:szCs w:val="20"/>
                <w:lang w:val="uk-UA"/>
              </w:rPr>
              <w:t>Кришталя</w:t>
            </w:r>
            <w:proofErr w:type="spellEnd"/>
            <w:r w:rsidRPr="00EE720A">
              <w:rPr>
                <w:sz w:val="20"/>
                <w:szCs w:val="20"/>
                <w:lang w:val="uk-UA"/>
              </w:rPr>
              <w:t xml:space="preserve"> Олександра Володимировича.</w:t>
            </w:r>
          </w:p>
          <w:p w:rsidR="008C3425" w:rsidRPr="00EE720A" w:rsidRDefault="008C3425" w:rsidP="007432C1">
            <w:pPr>
              <w:jc w:val="both"/>
              <w:rPr>
                <w:sz w:val="20"/>
                <w:szCs w:val="20"/>
                <w:lang w:val="uk-UA"/>
              </w:rPr>
            </w:pPr>
            <w:r w:rsidRPr="00EE720A">
              <w:rPr>
                <w:sz w:val="20"/>
                <w:szCs w:val="20"/>
                <w:lang w:val="uk-UA"/>
              </w:rPr>
              <w:t xml:space="preserve">2. Обрати Секретарем Загальних зборів Товариства – </w:t>
            </w:r>
            <w:proofErr w:type="spellStart"/>
            <w:r w:rsidRPr="00EE720A">
              <w:rPr>
                <w:sz w:val="20"/>
                <w:szCs w:val="20"/>
                <w:lang w:val="uk-UA"/>
              </w:rPr>
              <w:t>Мількевича</w:t>
            </w:r>
            <w:proofErr w:type="spellEnd"/>
            <w:r w:rsidRPr="00EE720A">
              <w:rPr>
                <w:sz w:val="20"/>
                <w:szCs w:val="20"/>
                <w:lang w:val="uk-UA"/>
              </w:rPr>
              <w:t xml:space="preserve"> Віталія Павловича.</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 xml:space="preserve">3. Затвердження порядку (регламенту) проведення Загальних зборів Товариства. </w:t>
            </w:r>
          </w:p>
          <w:p w:rsidR="008C3425" w:rsidRPr="00EE720A" w:rsidRDefault="008C3425" w:rsidP="007432C1">
            <w:pPr>
              <w:jc w:val="both"/>
              <w:rPr>
                <w:iCs/>
                <w:sz w:val="20"/>
                <w:szCs w:val="20"/>
                <w:lang w:val="uk-UA"/>
              </w:rPr>
            </w:pPr>
            <w:r w:rsidRPr="00EE720A">
              <w:rPr>
                <w:iCs/>
                <w:sz w:val="20"/>
                <w:szCs w:val="20"/>
                <w:lang w:val="uk-UA"/>
              </w:rPr>
              <w:t>Затвердити порядок (регламент) проведення Загальних зборів Товариства:</w:t>
            </w:r>
          </w:p>
          <w:p w:rsidR="008C3425" w:rsidRPr="00EE720A" w:rsidRDefault="008C3425" w:rsidP="007432C1">
            <w:pPr>
              <w:jc w:val="both"/>
              <w:rPr>
                <w:iCs/>
                <w:sz w:val="20"/>
                <w:szCs w:val="20"/>
                <w:lang w:val="uk-UA"/>
              </w:rPr>
            </w:pPr>
            <w:r w:rsidRPr="00EE720A">
              <w:rPr>
                <w:iCs/>
                <w:sz w:val="20"/>
                <w:szCs w:val="20"/>
                <w:lang w:val="uk-UA"/>
              </w:rPr>
              <w:t>- Час для виступів доповідачів з питань порядку денного - до 20 хвилин.</w:t>
            </w:r>
          </w:p>
          <w:p w:rsidR="008C3425" w:rsidRPr="00EE720A" w:rsidRDefault="008C3425" w:rsidP="007432C1">
            <w:pPr>
              <w:jc w:val="both"/>
              <w:rPr>
                <w:iCs/>
                <w:sz w:val="20"/>
                <w:szCs w:val="20"/>
                <w:lang w:val="uk-UA"/>
              </w:rPr>
            </w:pPr>
            <w:r w:rsidRPr="00EE720A">
              <w:rPr>
                <w:iCs/>
                <w:sz w:val="20"/>
                <w:szCs w:val="20"/>
                <w:lang w:val="uk-UA"/>
              </w:rPr>
              <w:t>- Час для виступів учасників у дебатах та обговореннях з питань порядку денного - до 3 хвилин.</w:t>
            </w:r>
          </w:p>
          <w:p w:rsidR="008C3425" w:rsidRPr="00EE720A" w:rsidRDefault="008C3425" w:rsidP="007432C1">
            <w:pPr>
              <w:jc w:val="both"/>
              <w:rPr>
                <w:iCs/>
                <w:sz w:val="20"/>
                <w:szCs w:val="20"/>
                <w:lang w:val="uk-UA"/>
              </w:rPr>
            </w:pPr>
            <w:r w:rsidRPr="00EE720A">
              <w:rPr>
                <w:iCs/>
                <w:sz w:val="20"/>
                <w:szCs w:val="20"/>
                <w:lang w:val="uk-UA"/>
              </w:rPr>
              <w:t>- Час для відповідей на питання, довідки - до 3 хвилин.</w:t>
            </w:r>
          </w:p>
          <w:p w:rsidR="008C3425" w:rsidRPr="00EE720A" w:rsidRDefault="008C3425" w:rsidP="007432C1">
            <w:pPr>
              <w:jc w:val="both"/>
              <w:rPr>
                <w:iCs/>
                <w:sz w:val="20"/>
                <w:szCs w:val="20"/>
                <w:lang w:val="uk-UA"/>
              </w:rPr>
            </w:pPr>
            <w:r w:rsidRPr="00EE720A">
              <w:rPr>
                <w:iCs/>
                <w:sz w:val="20"/>
                <w:szCs w:val="20"/>
                <w:lang w:val="uk-UA"/>
              </w:rPr>
              <w:t>- Для виступів на  Загальних зборах Товариства слово може бути надане лише акціонерам або їх представникам, які зареєструвались для участі у Загальних зборах Товариства, Голові та секретарю Загальних зборів Товариства, представникам Правління, Наглядової ради та бухгалтерії Товариства.</w:t>
            </w:r>
          </w:p>
          <w:p w:rsidR="008C3425" w:rsidRPr="00EE720A" w:rsidRDefault="008C3425" w:rsidP="007432C1">
            <w:pPr>
              <w:jc w:val="both"/>
              <w:rPr>
                <w:iCs/>
                <w:sz w:val="20"/>
                <w:szCs w:val="20"/>
                <w:lang w:val="uk-UA"/>
              </w:rPr>
            </w:pPr>
            <w:r w:rsidRPr="00EE720A">
              <w:rPr>
                <w:iCs/>
                <w:sz w:val="20"/>
                <w:szCs w:val="20"/>
                <w:lang w:val="uk-UA"/>
              </w:rPr>
              <w:t>- Усі запитання, звернення по питанням порядку денного  Загальних зборів Товариства, запис для надання слова по питанням порядку денного, надаються виключно у письмовому вигляді Голові та/або секретарю Загальних зборів Товариства через членів тимчасової лічильної комісії та/або Лічильної комісії, що присутні у залі, до моменту початку розгляду відповідного питання порядку денного із зазначенням прізвища та імені (найменування) акціонера та/або його представника, та засвідчені їх підписом.</w:t>
            </w:r>
          </w:p>
          <w:p w:rsidR="008C3425" w:rsidRPr="00EE720A" w:rsidRDefault="008C3425" w:rsidP="007432C1">
            <w:pPr>
              <w:jc w:val="both"/>
              <w:rPr>
                <w:iCs/>
                <w:sz w:val="20"/>
                <w:szCs w:val="20"/>
                <w:lang w:val="uk-UA"/>
              </w:rPr>
            </w:pPr>
            <w:r w:rsidRPr="00EE720A">
              <w:rPr>
                <w:iCs/>
                <w:sz w:val="20"/>
                <w:szCs w:val="20"/>
                <w:lang w:val="uk-UA"/>
              </w:rPr>
              <w:t>- Голова Загальних зборів Товариства виносить на розгляд питання порядку денного Загальних зборів у тій послідовності, в якій вони перелічені у рішенні Наглядової ради Товариства та змінах до проекту порядку денного, або в іншій послідовності якщо про це прийнято відповідне рішення Загальними зборами Товариства.</w:t>
            </w:r>
          </w:p>
          <w:p w:rsidR="008C3425" w:rsidRPr="00EE720A" w:rsidRDefault="008C3425" w:rsidP="007432C1">
            <w:pPr>
              <w:jc w:val="both"/>
              <w:rPr>
                <w:iCs/>
                <w:sz w:val="20"/>
                <w:szCs w:val="20"/>
                <w:lang w:val="uk-UA"/>
              </w:rPr>
            </w:pPr>
            <w:r w:rsidRPr="00EE720A">
              <w:rPr>
                <w:iCs/>
                <w:sz w:val="20"/>
                <w:szCs w:val="20"/>
                <w:lang w:val="uk-UA"/>
              </w:rPr>
              <w:t>- У випадку, якщо з питання порядку денного Загальних зборів Товариства запропоновано одночасно декілька проектів рішень, одним з яких пропонується зняти відповідне питання порядку денного з розгляду, Голова Загальних зборів Товариства зобов’язаний спочатку поставити на голосування проект рішення про зняття з розгляду відповідного питання порядку денного. Якщо в результаті голосування з питання порядку денного проект рішення про зняття його з розгляду буде прийнято Загальними зборами Товариства, інші проекти рішень з цього ж питання порядку денного Загальними зборами Товариства не розглядаються, на голосування Головою Загальних зборів Товариства не ставляться, голосування з них не проводиться, відповідні бюлетені не збираються, а підсумки голосування з них не підбиваються та не оголошуються.</w:t>
            </w:r>
          </w:p>
          <w:p w:rsidR="008C3425" w:rsidRPr="00EE720A" w:rsidRDefault="008C3425" w:rsidP="007432C1">
            <w:pPr>
              <w:jc w:val="both"/>
              <w:rPr>
                <w:iCs/>
                <w:sz w:val="20"/>
                <w:szCs w:val="20"/>
                <w:lang w:val="uk-UA"/>
              </w:rPr>
            </w:pPr>
            <w:r w:rsidRPr="00EE720A">
              <w:rPr>
                <w:iCs/>
                <w:sz w:val="20"/>
                <w:szCs w:val="20"/>
                <w:lang w:val="uk-UA"/>
              </w:rPr>
              <w:t xml:space="preserve">- Голосування з питань порядку денного Загальних зборів Товариства проводиться виключно з використанням бюлетенів для голосування, форма і текст, яких були затверджені Наглядовою радою Товариства. Бюлетені для голосування засвідчуються перед їх </w:t>
            </w:r>
            <w:proofErr w:type="spellStart"/>
            <w:r w:rsidRPr="00EE720A">
              <w:rPr>
                <w:iCs/>
                <w:sz w:val="20"/>
                <w:szCs w:val="20"/>
                <w:lang w:val="uk-UA"/>
              </w:rPr>
              <w:t>видачею</w:t>
            </w:r>
            <w:proofErr w:type="spellEnd"/>
            <w:r w:rsidRPr="00EE720A">
              <w:rPr>
                <w:iCs/>
                <w:sz w:val="20"/>
                <w:szCs w:val="20"/>
                <w:lang w:val="uk-UA"/>
              </w:rPr>
              <w:t xml:space="preserve"> акціонеру (його представнику) під час його реєстрації для участі в Загальних зборах </w:t>
            </w:r>
            <w:r w:rsidRPr="00EE720A">
              <w:rPr>
                <w:sz w:val="20"/>
                <w:szCs w:val="20"/>
                <w:lang w:val="uk-UA"/>
              </w:rPr>
              <w:t>Товариства</w:t>
            </w:r>
            <w:r w:rsidRPr="00EE720A">
              <w:rPr>
                <w:iCs/>
                <w:sz w:val="20"/>
                <w:szCs w:val="20"/>
                <w:lang w:val="uk-UA"/>
              </w:rPr>
              <w:t xml:space="preserve"> підписом Голови або члена Реєстраційної комісії.</w:t>
            </w:r>
          </w:p>
          <w:p w:rsidR="008C3425" w:rsidRPr="00EE720A" w:rsidRDefault="008C3425" w:rsidP="007432C1">
            <w:pPr>
              <w:jc w:val="both"/>
              <w:rPr>
                <w:iCs/>
                <w:sz w:val="20"/>
                <w:szCs w:val="20"/>
                <w:lang w:val="uk-UA"/>
              </w:rPr>
            </w:pPr>
            <w:r w:rsidRPr="00EE720A">
              <w:rPr>
                <w:iCs/>
                <w:sz w:val="20"/>
                <w:szCs w:val="20"/>
                <w:lang w:val="uk-UA"/>
              </w:rPr>
              <w:t>- Обробка бюлетенів здійснюється за допомогою електронних засобів та/або шляхом підрахунку голосів членами тимчасової лічильної комісії з питання «Обрання Лічильної комісії Загальних зборів Товариства» та обраними членами Лічильної комісії з усіх інших питань порядку денного Загальних зборів Товариства. Оголошення результатів голосування та прийнятих рішень здійснює Голова Загальних зборів Товариства.</w:t>
            </w:r>
          </w:p>
          <w:p w:rsidR="008C3425" w:rsidRPr="00EE720A" w:rsidRDefault="008C3425" w:rsidP="007432C1">
            <w:pPr>
              <w:jc w:val="both"/>
              <w:rPr>
                <w:iCs/>
                <w:sz w:val="20"/>
                <w:szCs w:val="20"/>
                <w:lang w:val="uk-UA"/>
              </w:rPr>
            </w:pPr>
            <w:r w:rsidRPr="00EE720A">
              <w:rPr>
                <w:iCs/>
                <w:sz w:val="20"/>
                <w:szCs w:val="20"/>
                <w:lang w:val="uk-UA"/>
              </w:rPr>
              <w:t>- Бюлетень для голосування визнається недійсним у разі: а) якщо він відрізняється від офіційно виготовленого зразка; б) на ньому відсутні підпис (підписи), прізвище, ім’я та по батькові акціонера (представника акціонера) та найменування юридичної особи у разі, якщо вона є акціонером;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 ґ) акціонер (представник акціонера) зазначив у бюлетені для кумулятивного голосування більшу кількість голосів, ніж йому належить за таким голосуванням.</w:t>
            </w:r>
            <w:r w:rsidRPr="00EE720A">
              <w:rPr>
                <w:sz w:val="20"/>
                <w:szCs w:val="20"/>
                <w:lang w:val="uk-UA"/>
              </w:rPr>
              <w:t xml:space="preserve"> </w:t>
            </w:r>
            <w:r w:rsidRPr="00EE720A">
              <w:rPr>
                <w:iCs/>
                <w:sz w:val="20"/>
                <w:szCs w:val="20"/>
                <w:lang w:val="uk-UA"/>
              </w:rPr>
              <w:t>Бюлетені для голосування, що визнані недійсними, не враховуються під час підрахунку голосів.</w:t>
            </w:r>
          </w:p>
          <w:p w:rsidR="008C3425" w:rsidRPr="00EE720A" w:rsidRDefault="008C3425" w:rsidP="007432C1">
            <w:pPr>
              <w:jc w:val="both"/>
              <w:rPr>
                <w:iCs/>
                <w:sz w:val="20"/>
                <w:szCs w:val="20"/>
                <w:lang w:val="uk-UA"/>
              </w:rPr>
            </w:pPr>
            <w:r w:rsidRPr="00EE720A">
              <w:rPr>
                <w:iCs/>
                <w:sz w:val="20"/>
                <w:szCs w:val="20"/>
                <w:lang w:val="uk-UA"/>
              </w:rPr>
              <w:t>- Бюлетень для голосування не враховується тимчасовою лічильною комісією та/або Лічильною комісією, якщо він не надійшов до тимчасової лічильної комісії та/або Лічильної комісії у встановлений термін або у ньому містяться сторонні написи та/або виправлення.</w:t>
            </w:r>
          </w:p>
          <w:p w:rsidR="008C3425" w:rsidRPr="00EE720A" w:rsidRDefault="008C3425" w:rsidP="007432C1">
            <w:pPr>
              <w:jc w:val="both"/>
              <w:rPr>
                <w:iCs/>
                <w:sz w:val="20"/>
                <w:szCs w:val="20"/>
                <w:lang w:val="uk-UA"/>
              </w:rPr>
            </w:pPr>
            <w:r w:rsidRPr="00EE720A">
              <w:rPr>
                <w:iCs/>
                <w:sz w:val="20"/>
                <w:szCs w:val="20"/>
                <w:lang w:val="uk-UA"/>
              </w:rPr>
              <w:t>- Мова, якою проводяться (ведуться) Загальні збори Товариства та оформлюється протокол Загальних зборів акціонерів Товариства є українська мова.</w:t>
            </w:r>
          </w:p>
          <w:p w:rsidR="008C3425" w:rsidRPr="00EE720A" w:rsidRDefault="008C3425" w:rsidP="007432C1">
            <w:pPr>
              <w:jc w:val="both"/>
              <w:rPr>
                <w:iCs/>
                <w:sz w:val="20"/>
                <w:szCs w:val="20"/>
                <w:lang w:val="uk-UA"/>
              </w:rPr>
            </w:pPr>
            <w:r w:rsidRPr="00EE720A">
              <w:rPr>
                <w:iCs/>
                <w:sz w:val="20"/>
                <w:szCs w:val="20"/>
                <w:lang w:val="uk-UA"/>
              </w:rPr>
              <w:t>- Засоби масової інформації на Загальні збори Товариства не допускаються. Особи, які не є акціонерами Товариства або їх представниками, посадовими особами Товариства, запрошеними особами на Збори – на Загальні збори Товариства не допускаються. Фото, відео та аудіо запис на Загальних зборах Товариства не допускається.</w:t>
            </w:r>
          </w:p>
          <w:p w:rsidR="008C3425" w:rsidRPr="00EE720A" w:rsidRDefault="008C3425" w:rsidP="007432C1">
            <w:pPr>
              <w:jc w:val="both"/>
              <w:rPr>
                <w:iCs/>
                <w:sz w:val="20"/>
                <w:szCs w:val="20"/>
                <w:lang w:val="uk-UA"/>
              </w:rPr>
            </w:pPr>
            <w:r w:rsidRPr="00EE720A">
              <w:rPr>
                <w:iCs/>
                <w:sz w:val="20"/>
                <w:szCs w:val="20"/>
                <w:lang w:val="uk-UA"/>
              </w:rPr>
              <w:lastRenderedPageBreak/>
              <w:t>- Протокол Загальних зборів акціонерів Товариства від імені Загальних зборів Товариства підписують обрані Голова та Секретар Загальних зборів Товариства.</w:t>
            </w:r>
          </w:p>
          <w:p w:rsidR="008C3425" w:rsidRPr="00EE720A" w:rsidRDefault="008C3425" w:rsidP="007432C1">
            <w:pPr>
              <w:jc w:val="both"/>
              <w:rPr>
                <w:iCs/>
                <w:sz w:val="20"/>
                <w:szCs w:val="20"/>
                <w:lang w:val="uk-UA"/>
              </w:rPr>
            </w:pPr>
            <w:r w:rsidRPr="00EE720A">
              <w:rPr>
                <w:iCs/>
                <w:sz w:val="20"/>
                <w:szCs w:val="20"/>
                <w:lang w:val="uk-UA"/>
              </w:rPr>
              <w:t>- З усіх інших процедур та питань, які виникають під час проведення цих Загальних зборів  Товариства керуватися нормами Статуту, внутрішніх положень та чинного законодавства України.</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lastRenderedPageBreak/>
              <w:t xml:space="preserve">4. Звіт Наглядової Ради Товариства за 2019 рік та прийняття рішення за наслідками його розгляду. </w:t>
            </w:r>
          </w:p>
          <w:p w:rsidR="008C3425" w:rsidRPr="00EE720A" w:rsidRDefault="008C3425" w:rsidP="007432C1">
            <w:pPr>
              <w:jc w:val="both"/>
              <w:rPr>
                <w:sz w:val="20"/>
                <w:szCs w:val="20"/>
                <w:lang w:val="uk-UA"/>
              </w:rPr>
            </w:pPr>
            <w:r w:rsidRPr="00EE720A">
              <w:rPr>
                <w:sz w:val="20"/>
                <w:szCs w:val="20"/>
                <w:lang w:val="uk-UA"/>
              </w:rPr>
              <w:t>1. Затвердити звіт Наглядової Ради Товариства за 2019 рік.</w:t>
            </w:r>
          </w:p>
          <w:p w:rsidR="008C3425" w:rsidRPr="00EE720A" w:rsidRDefault="008C3425" w:rsidP="007432C1">
            <w:pPr>
              <w:jc w:val="both"/>
              <w:rPr>
                <w:sz w:val="20"/>
                <w:szCs w:val="20"/>
                <w:lang w:val="uk-UA"/>
              </w:rPr>
            </w:pPr>
            <w:r w:rsidRPr="00EE720A">
              <w:rPr>
                <w:sz w:val="20"/>
                <w:szCs w:val="20"/>
                <w:lang w:val="uk-UA"/>
              </w:rPr>
              <w:t>2. Визнати роботу Наглядової ради Товариства задовільною.</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5. Розгляд звіту та висновків зовнішньої аудиторської фірми та прийняття рішення за наслідками його розгляду.</w:t>
            </w:r>
          </w:p>
          <w:p w:rsidR="008C3425" w:rsidRPr="00EE720A" w:rsidRDefault="008C3425" w:rsidP="007432C1">
            <w:pPr>
              <w:jc w:val="both"/>
              <w:rPr>
                <w:sz w:val="20"/>
                <w:szCs w:val="20"/>
                <w:lang w:val="uk-UA"/>
              </w:rPr>
            </w:pPr>
            <w:r w:rsidRPr="00EE720A">
              <w:rPr>
                <w:sz w:val="20"/>
                <w:szCs w:val="20"/>
                <w:lang w:val="uk-UA"/>
              </w:rPr>
              <w:t>Прийняти до відома звіт та висновки зовнішнього незалежного аудитора – Товариства з обмеженою відповідальністю "КРЕСТОН ДЖІ СІ ДЖІ АУДИТ" (ідентифікаційний код 31586485) про результати аудиторської перевірки річної фінансової звітності Товариства за 2019 рік.</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6. Затвердження річного звіту та фінансової звітності Товариства за 2019 рік.</w:t>
            </w:r>
          </w:p>
          <w:p w:rsidR="008C3425" w:rsidRPr="00EE720A" w:rsidRDefault="008C3425" w:rsidP="007432C1">
            <w:pPr>
              <w:jc w:val="both"/>
              <w:rPr>
                <w:sz w:val="20"/>
                <w:szCs w:val="20"/>
                <w:lang w:val="uk-UA"/>
              </w:rPr>
            </w:pPr>
            <w:r w:rsidRPr="00EE720A">
              <w:rPr>
                <w:sz w:val="20"/>
                <w:szCs w:val="20"/>
                <w:lang w:val="uk-UA"/>
              </w:rPr>
              <w:t>Затвердити річний звіт та фінансову звітність Товариства за 2019 рік.</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7. Розподіл прибутку Товариства (порядок покриття збитків) за підсумками 2019 року</w:t>
            </w:r>
          </w:p>
          <w:p w:rsidR="008C3425" w:rsidRPr="00EE720A" w:rsidRDefault="008C3425" w:rsidP="007432C1">
            <w:pPr>
              <w:jc w:val="both"/>
              <w:rPr>
                <w:sz w:val="20"/>
                <w:szCs w:val="20"/>
                <w:lang w:val="uk-UA"/>
              </w:rPr>
            </w:pPr>
            <w:r w:rsidRPr="00EE720A">
              <w:rPr>
                <w:sz w:val="20"/>
                <w:szCs w:val="20"/>
                <w:lang w:val="uk-UA"/>
              </w:rPr>
              <w:t>Проект рішення №1:</w:t>
            </w:r>
          </w:p>
          <w:p w:rsidR="008C3425" w:rsidRPr="00EE720A" w:rsidRDefault="008C3425" w:rsidP="007432C1">
            <w:pPr>
              <w:jc w:val="both"/>
              <w:rPr>
                <w:sz w:val="20"/>
                <w:szCs w:val="20"/>
                <w:lang w:val="uk-UA"/>
              </w:rPr>
            </w:pPr>
            <w:r w:rsidRPr="00EE720A">
              <w:rPr>
                <w:sz w:val="20"/>
                <w:szCs w:val="20"/>
                <w:lang w:val="uk-UA"/>
              </w:rPr>
              <w:t>У зв’язку з відсутністю чистого прибутку за підсумками роботи Товариства у 2019 році дивіденди не нараховувати.</w:t>
            </w:r>
          </w:p>
          <w:p w:rsidR="008C3425" w:rsidRPr="00EE720A" w:rsidRDefault="008C3425" w:rsidP="007432C1">
            <w:pPr>
              <w:jc w:val="both"/>
              <w:rPr>
                <w:sz w:val="20"/>
                <w:szCs w:val="20"/>
                <w:lang w:val="uk-UA"/>
              </w:rPr>
            </w:pPr>
            <w:r w:rsidRPr="00EE720A">
              <w:rPr>
                <w:sz w:val="20"/>
                <w:szCs w:val="20"/>
                <w:lang w:val="uk-UA"/>
              </w:rPr>
              <w:t>Проект рішення № 2:</w:t>
            </w:r>
          </w:p>
          <w:p w:rsidR="008C3425" w:rsidRPr="00EE720A" w:rsidRDefault="008C3425" w:rsidP="007432C1">
            <w:pPr>
              <w:jc w:val="both"/>
              <w:rPr>
                <w:sz w:val="20"/>
                <w:szCs w:val="20"/>
                <w:lang w:val="uk-UA"/>
              </w:rPr>
            </w:pPr>
            <w:r w:rsidRPr="00EE720A">
              <w:rPr>
                <w:sz w:val="20"/>
                <w:szCs w:val="20"/>
                <w:lang w:val="uk-UA"/>
              </w:rPr>
              <w:t>Спрямувати 100% розміру чистого прибутку Товариства за 2019 рік на покриття збитків минулих періодів.</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8. Про затвердження основних напрямків діяльності Товариства на 2020 рік.</w:t>
            </w:r>
          </w:p>
          <w:p w:rsidR="008C3425" w:rsidRPr="00EE720A" w:rsidRDefault="008C3425" w:rsidP="007432C1">
            <w:pPr>
              <w:jc w:val="both"/>
              <w:rPr>
                <w:sz w:val="20"/>
                <w:szCs w:val="20"/>
                <w:lang w:val="uk-UA"/>
              </w:rPr>
            </w:pPr>
            <w:r w:rsidRPr="00EE720A">
              <w:rPr>
                <w:sz w:val="20"/>
                <w:szCs w:val="20"/>
                <w:lang w:val="uk-UA"/>
              </w:rPr>
              <w:t>Затвердити основні напрямки діяльності Товариства на 2020 рік:</w:t>
            </w:r>
          </w:p>
          <w:p w:rsidR="008C3425" w:rsidRPr="00EE720A" w:rsidRDefault="008C3425" w:rsidP="007432C1">
            <w:pPr>
              <w:jc w:val="both"/>
              <w:rPr>
                <w:sz w:val="20"/>
                <w:szCs w:val="20"/>
                <w:lang w:val="uk-UA"/>
              </w:rPr>
            </w:pPr>
            <w:r w:rsidRPr="00EE720A">
              <w:rPr>
                <w:sz w:val="20"/>
                <w:szCs w:val="20"/>
                <w:lang w:val="uk-UA"/>
              </w:rPr>
              <w:t>1. Дотримання затвердженої НКРЕКП структури тарифу;</w:t>
            </w:r>
          </w:p>
          <w:p w:rsidR="008C3425" w:rsidRPr="00EE720A" w:rsidRDefault="008C3425" w:rsidP="007432C1">
            <w:pPr>
              <w:jc w:val="both"/>
              <w:rPr>
                <w:sz w:val="20"/>
                <w:szCs w:val="20"/>
                <w:lang w:val="uk-UA"/>
              </w:rPr>
            </w:pPr>
            <w:r w:rsidRPr="00EE720A">
              <w:rPr>
                <w:sz w:val="20"/>
                <w:szCs w:val="20"/>
                <w:lang w:val="uk-UA"/>
              </w:rPr>
              <w:t>2. Виконання затвердженої інвестиційної програми;</w:t>
            </w:r>
          </w:p>
          <w:p w:rsidR="008C3425" w:rsidRPr="00EE720A" w:rsidRDefault="008C3425" w:rsidP="007432C1">
            <w:pPr>
              <w:jc w:val="both"/>
              <w:rPr>
                <w:sz w:val="20"/>
                <w:szCs w:val="20"/>
                <w:lang w:val="uk-UA"/>
              </w:rPr>
            </w:pPr>
            <w:r w:rsidRPr="00EE720A">
              <w:rPr>
                <w:sz w:val="20"/>
                <w:szCs w:val="20"/>
                <w:lang w:val="uk-UA"/>
              </w:rPr>
              <w:t>3. Забезпечення дотримання дисципліни газоспоживання;</w:t>
            </w:r>
          </w:p>
          <w:p w:rsidR="008C3425" w:rsidRPr="00EE720A" w:rsidRDefault="008C3425" w:rsidP="007432C1">
            <w:pPr>
              <w:jc w:val="both"/>
              <w:rPr>
                <w:sz w:val="20"/>
                <w:szCs w:val="20"/>
                <w:lang w:val="uk-UA"/>
              </w:rPr>
            </w:pPr>
            <w:r w:rsidRPr="00EE720A">
              <w:rPr>
                <w:sz w:val="20"/>
                <w:szCs w:val="20"/>
                <w:lang w:val="uk-UA"/>
              </w:rPr>
              <w:t>4. Виконання заходів, щодо підготовки до осінньо-зимового періоду;</w:t>
            </w:r>
          </w:p>
          <w:p w:rsidR="008C3425" w:rsidRPr="00EE720A" w:rsidRDefault="008C3425" w:rsidP="007432C1">
            <w:pPr>
              <w:jc w:val="both"/>
              <w:rPr>
                <w:sz w:val="20"/>
                <w:szCs w:val="20"/>
                <w:lang w:val="uk-UA"/>
              </w:rPr>
            </w:pPr>
            <w:r w:rsidRPr="00EE720A">
              <w:rPr>
                <w:sz w:val="20"/>
                <w:szCs w:val="20"/>
                <w:lang w:val="uk-UA"/>
              </w:rPr>
              <w:t>5. Покращення обліку природного газу, скорочення технологічних втрат газу;</w:t>
            </w:r>
          </w:p>
          <w:p w:rsidR="008C3425" w:rsidRPr="00EE720A" w:rsidRDefault="008C3425" w:rsidP="007432C1">
            <w:pPr>
              <w:jc w:val="both"/>
              <w:rPr>
                <w:sz w:val="20"/>
                <w:szCs w:val="20"/>
                <w:lang w:val="uk-UA"/>
              </w:rPr>
            </w:pPr>
            <w:r w:rsidRPr="00EE720A">
              <w:rPr>
                <w:sz w:val="20"/>
                <w:szCs w:val="20"/>
                <w:lang w:val="uk-UA"/>
              </w:rPr>
              <w:t>6. Забезпечення своєчасного виконання регламентних робіт на газопроводах, спорудах та приладах обліку.</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9. Про внесення змін та доповнень до Статуту Товариства шляхом затвердження його в новій редакції.</w:t>
            </w:r>
          </w:p>
          <w:p w:rsidR="008C3425" w:rsidRPr="00EE720A" w:rsidRDefault="008C3425" w:rsidP="007432C1">
            <w:pPr>
              <w:jc w:val="both"/>
              <w:rPr>
                <w:sz w:val="20"/>
                <w:szCs w:val="20"/>
                <w:lang w:val="uk-UA"/>
              </w:rPr>
            </w:pPr>
            <w:r w:rsidRPr="00EE720A">
              <w:rPr>
                <w:sz w:val="20"/>
                <w:szCs w:val="20"/>
                <w:lang w:val="uk-UA"/>
              </w:rPr>
              <w:t xml:space="preserve">1. </w:t>
            </w:r>
            <w:proofErr w:type="spellStart"/>
            <w:r w:rsidRPr="00EE720A">
              <w:rPr>
                <w:sz w:val="20"/>
                <w:szCs w:val="20"/>
                <w:lang w:val="uk-UA"/>
              </w:rPr>
              <w:t>Внести</w:t>
            </w:r>
            <w:proofErr w:type="spellEnd"/>
            <w:r w:rsidRPr="00EE720A">
              <w:rPr>
                <w:sz w:val="20"/>
                <w:szCs w:val="20"/>
                <w:lang w:val="uk-UA"/>
              </w:rPr>
              <w:t xml:space="preserve"> зміни та доповнення до Статуту Товариства та затвердити Статут Товариства  в новій редакції. </w:t>
            </w:r>
          </w:p>
          <w:p w:rsidR="008C3425" w:rsidRPr="00EE720A" w:rsidRDefault="008C3425" w:rsidP="007432C1">
            <w:pPr>
              <w:jc w:val="both"/>
              <w:rPr>
                <w:sz w:val="20"/>
                <w:szCs w:val="20"/>
                <w:lang w:val="uk-UA"/>
              </w:rPr>
            </w:pPr>
            <w:r w:rsidRPr="00EE720A">
              <w:rPr>
                <w:sz w:val="20"/>
                <w:szCs w:val="20"/>
                <w:lang w:val="uk-UA"/>
              </w:rPr>
              <w:t>2. Уповноважити Голову та Секретаря Загальних зборів Товариства  підписати Статут Товариства в новій редакції, затверджений цими Загальними зборами Товариства.</w:t>
            </w:r>
          </w:p>
          <w:p w:rsidR="008C3425" w:rsidRPr="00EE720A" w:rsidRDefault="008C3425" w:rsidP="007432C1">
            <w:pPr>
              <w:jc w:val="both"/>
              <w:rPr>
                <w:sz w:val="20"/>
                <w:szCs w:val="20"/>
                <w:lang w:val="uk-UA"/>
              </w:rPr>
            </w:pPr>
            <w:r w:rsidRPr="00EE720A">
              <w:rPr>
                <w:sz w:val="20"/>
                <w:szCs w:val="20"/>
                <w:lang w:val="uk-UA"/>
              </w:rPr>
              <w:t>3. Доручити Голові правління Товариства або особі, що виконує його обов’язки (з правом передоручення іншим особам) здійснити державну реєстрацію Статуту Товариства в новій редакції, затвердженої цими Загальними зборами Товариства.</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10. Про внесення змін та доповнень до Положення про Загальні збори, Наглядову раду та Правління Товариства шляхом затвердження їх у новій редакції.</w:t>
            </w:r>
          </w:p>
          <w:p w:rsidR="008C3425" w:rsidRPr="00EE720A" w:rsidRDefault="008C3425" w:rsidP="007432C1">
            <w:pPr>
              <w:jc w:val="both"/>
              <w:rPr>
                <w:sz w:val="20"/>
                <w:szCs w:val="20"/>
                <w:lang w:val="uk-UA"/>
              </w:rPr>
            </w:pPr>
            <w:r w:rsidRPr="00EE720A">
              <w:rPr>
                <w:sz w:val="20"/>
                <w:szCs w:val="20"/>
                <w:lang w:val="uk-UA"/>
              </w:rPr>
              <w:t xml:space="preserve">1. </w:t>
            </w:r>
            <w:proofErr w:type="spellStart"/>
            <w:r w:rsidRPr="00EE720A">
              <w:rPr>
                <w:sz w:val="20"/>
                <w:szCs w:val="20"/>
                <w:lang w:val="uk-UA"/>
              </w:rPr>
              <w:t>Внести</w:t>
            </w:r>
            <w:proofErr w:type="spellEnd"/>
            <w:r w:rsidRPr="00EE720A">
              <w:rPr>
                <w:sz w:val="20"/>
                <w:szCs w:val="20"/>
                <w:lang w:val="uk-UA"/>
              </w:rPr>
              <w:t xml:space="preserve"> зміни та доповнення до Положення про Загальні збори, Наглядову раду, Правління Товариства та затвердити Положення про Загальні збори, Наглядову раду та Правління Товариства в новій редакції.</w:t>
            </w:r>
          </w:p>
          <w:p w:rsidR="008C3425" w:rsidRPr="00EE720A" w:rsidRDefault="008C3425" w:rsidP="007432C1">
            <w:pPr>
              <w:jc w:val="both"/>
              <w:rPr>
                <w:b/>
                <w:sz w:val="20"/>
                <w:szCs w:val="20"/>
                <w:lang w:val="uk-UA"/>
              </w:rPr>
            </w:pPr>
            <w:r w:rsidRPr="00EE720A">
              <w:rPr>
                <w:sz w:val="20"/>
                <w:szCs w:val="20"/>
                <w:lang w:val="uk-UA"/>
              </w:rPr>
              <w:t xml:space="preserve">2. Уповноважити Голову та Секретаря Загальних зборів Товариства підписати Положення про Загальні збори, Наглядову раду та Правління Товариства, затверджені  цими Загальними зборами Товариства, в новій редакції. </w:t>
            </w:r>
          </w:p>
        </w:tc>
      </w:tr>
      <w:tr w:rsidR="008C3425" w:rsidRPr="00EE720A" w:rsidTr="007432C1">
        <w:tc>
          <w:tcPr>
            <w:tcW w:w="10632" w:type="dxa"/>
            <w:shd w:val="clear" w:color="auto" w:fill="auto"/>
          </w:tcPr>
          <w:p w:rsidR="008C3425" w:rsidRPr="00EE720A" w:rsidRDefault="008C3425" w:rsidP="007432C1">
            <w:pPr>
              <w:jc w:val="both"/>
              <w:rPr>
                <w:b/>
                <w:sz w:val="20"/>
                <w:szCs w:val="20"/>
                <w:lang w:val="uk-UA"/>
              </w:rPr>
            </w:pPr>
            <w:r w:rsidRPr="00EE720A">
              <w:rPr>
                <w:b/>
                <w:sz w:val="20"/>
                <w:szCs w:val="20"/>
                <w:lang w:val="uk-UA"/>
              </w:rPr>
              <w:t>11. Про попереднє надання згоди на вчинення Товариством значних правочинів.</w:t>
            </w:r>
          </w:p>
          <w:p w:rsidR="008C3425" w:rsidRPr="00EE720A" w:rsidRDefault="008C3425" w:rsidP="007432C1">
            <w:pPr>
              <w:jc w:val="both"/>
              <w:rPr>
                <w:sz w:val="20"/>
                <w:szCs w:val="20"/>
                <w:lang w:val="uk-UA"/>
              </w:rPr>
            </w:pPr>
            <w:r w:rsidRPr="00EE720A">
              <w:rPr>
                <w:sz w:val="20"/>
                <w:szCs w:val="20"/>
                <w:lang w:val="uk-UA"/>
              </w:rPr>
              <w:t>Забезпечити надання послуг з розподілу природного газу на ліцензованій території обслуговування, для чого попередньо надати згоду на укладення Товариством протягом не більш як одного року з дати прийняття цього рішення договорів на:</w:t>
            </w:r>
          </w:p>
          <w:p w:rsidR="008C3425" w:rsidRPr="00EE720A" w:rsidRDefault="008C3425" w:rsidP="007432C1">
            <w:pPr>
              <w:jc w:val="both"/>
              <w:rPr>
                <w:sz w:val="20"/>
                <w:szCs w:val="20"/>
                <w:lang w:val="uk-UA"/>
              </w:rPr>
            </w:pPr>
            <w:r w:rsidRPr="00EE720A">
              <w:rPr>
                <w:sz w:val="20"/>
                <w:szCs w:val="20"/>
                <w:lang w:val="uk-UA"/>
              </w:rPr>
              <w:t>- закупівлю природного газу граничною сукупною вартістю 355 400 000,00 грн. (триста п'ятдесят п'ять мільйонів чотириста тисяч гривень 00 копійок);</w:t>
            </w:r>
          </w:p>
          <w:p w:rsidR="008C3425" w:rsidRPr="00EE720A" w:rsidRDefault="008C3425" w:rsidP="007432C1">
            <w:pPr>
              <w:jc w:val="both"/>
              <w:rPr>
                <w:sz w:val="20"/>
                <w:szCs w:val="20"/>
                <w:lang w:val="uk-UA"/>
              </w:rPr>
            </w:pPr>
            <w:r w:rsidRPr="00EE720A">
              <w:rPr>
                <w:sz w:val="20"/>
                <w:szCs w:val="20"/>
                <w:lang w:val="uk-UA"/>
              </w:rPr>
              <w:t>- транспортування природного газу граничною сукупною вартістю 355 400 000,00 грн. (триста п'ятдесят п'ять мільйонів чотириста тисяч гривень 00 копійок);</w:t>
            </w:r>
          </w:p>
          <w:p w:rsidR="008C3425" w:rsidRPr="00EE720A" w:rsidRDefault="008C3425" w:rsidP="007432C1">
            <w:pPr>
              <w:jc w:val="both"/>
              <w:rPr>
                <w:sz w:val="20"/>
                <w:szCs w:val="20"/>
                <w:lang w:val="uk-UA"/>
              </w:rPr>
            </w:pPr>
            <w:r w:rsidRPr="00EE720A">
              <w:rPr>
                <w:sz w:val="20"/>
                <w:szCs w:val="20"/>
                <w:lang w:val="uk-UA"/>
              </w:rPr>
              <w:t>- надання послуг з розподілу природного газу граничною сукупною вартістю 1 127 900 000,00 грн. (один мільярд сто двадцять сім мільйонів дев'ятсот тисяч гривень 00 копійок);</w:t>
            </w:r>
          </w:p>
          <w:p w:rsidR="008C3425" w:rsidRPr="00EE720A" w:rsidRDefault="008C3425" w:rsidP="007432C1">
            <w:pPr>
              <w:jc w:val="both"/>
              <w:rPr>
                <w:b/>
                <w:sz w:val="20"/>
                <w:szCs w:val="20"/>
                <w:lang w:val="uk-UA"/>
              </w:rPr>
            </w:pPr>
            <w:r w:rsidRPr="00EE720A">
              <w:rPr>
                <w:sz w:val="20"/>
                <w:szCs w:val="20"/>
                <w:lang w:val="uk-UA"/>
              </w:rPr>
              <w:t>- виконання інвестиційної програми затвердженої НКРЕКП України граничною сукупною вартістю                                       136 600 000,00 грн. (сто тридцять шість мільйонів шістсот тисяч гривень 00 копійок).</w:t>
            </w:r>
          </w:p>
        </w:tc>
      </w:tr>
      <w:tr w:rsidR="008C3425" w:rsidRPr="00EE720A" w:rsidTr="007432C1">
        <w:tc>
          <w:tcPr>
            <w:tcW w:w="10632" w:type="dxa"/>
            <w:tcBorders>
              <w:top w:val="single" w:sz="4" w:space="0" w:color="auto"/>
              <w:left w:val="single" w:sz="4" w:space="0" w:color="auto"/>
              <w:bottom w:val="single" w:sz="4" w:space="0" w:color="auto"/>
              <w:right w:val="single" w:sz="4" w:space="0" w:color="auto"/>
            </w:tcBorders>
            <w:shd w:val="clear" w:color="auto" w:fill="auto"/>
          </w:tcPr>
          <w:p w:rsidR="008C3425" w:rsidRPr="00EE720A" w:rsidRDefault="008C3425" w:rsidP="007432C1">
            <w:pPr>
              <w:jc w:val="both"/>
              <w:rPr>
                <w:b/>
                <w:sz w:val="20"/>
                <w:szCs w:val="20"/>
                <w:lang w:val="uk-UA"/>
              </w:rPr>
            </w:pPr>
            <w:r w:rsidRPr="00EE720A">
              <w:rPr>
                <w:b/>
                <w:sz w:val="20"/>
                <w:szCs w:val="20"/>
                <w:lang w:val="uk-UA"/>
              </w:rPr>
              <w:t>12. Про припинення повноважень Голови та членів Наглядової ради Товариства.</w:t>
            </w:r>
          </w:p>
          <w:p w:rsidR="008C3425" w:rsidRPr="00EE720A" w:rsidRDefault="008C3425" w:rsidP="007432C1">
            <w:pPr>
              <w:jc w:val="both"/>
              <w:rPr>
                <w:sz w:val="20"/>
                <w:szCs w:val="20"/>
                <w:lang w:val="uk-UA"/>
              </w:rPr>
            </w:pPr>
            <w:r w:rsidRPr="00EE720A">
              <w:rPr>
                <w:sz w:val="20"/>
                <w:szCs w:val="20"/>
                <w:lang w:val="uk-UA"/>
              </w:rPr>
              <w:t xml:space="preserve">1. Припинити повноваження членів (в </w:t>
            </w:r>
            <w:proofErr w:type="spellStart"/>
            <w:r w:rsidRPr="00EE720A">
              <w:rPr>
                <w:sz w:val="20"/>
                <w:szCs w:val="20"/>
                <w:lang w:val="uk-UA"/>
              </w:rPr>
              <w:t>т.ч</w:t>
            </w:r>
            <w:proofErr w:type="spellEnd"/>
            <w:r w:rsidRPr="00EE720A">
              <w:rPr>
                <w:sz w:val="20"/>
                <w:szCs w:val="20"/>
                <w:lang w:val="uk-UA"/>
              </w:rPr>
              <w:t>. Голови) Наглядової ради Товариства.</w:t>
            </w:r>
          </w:p>
          <w:p w:rsidR="008C3425" w:rsidRPr="00EE720A" w:rsidRDefault="008C3425" w:rsidP="007432C1">
            <w:pPr>
              <w:jc w:val="both"/>
              <w:rPr>
                <w:b/>
                <w:sz w:val="20"/>
                <w:szCs w:val="20"/>
                <w:lang w:val="uk-UA"/>
              </w:rPr>
            </w:pPr>
            <w:r w:rsidRPr="00EE720A">
              <w:rPr>
                <w:sz w:val="20"/>
                <w:szCs w:val="20"/>
                <w:lang w:val="uk-UA"/>
              </w:rPr>
              <w:t xml:space="preserve">2. Вважати повноваження членів (в </w:t>
            </w:r>
            <w:proofErr w:type="spellStart"/>
            <w:r w:rsidRPr="00EE720A">
              <w:rPr>
                <w:sz w:val="20"/>
                <w:szCs w:val="20"/>
                <w:lang w:val="uk-UA"/>
              </w:rPr>
              <w:t>т.ч</w:t>
            </w:r>
            <w:proofErr w:type="spellEnd"/>
            <w:r w:rsidRPr="00EE720A">
              <w:rPr>
                <w:sz w:val="20"/>
                <w:szCs w:val="20"/>
                <w:lang w:val="uk-UA"/>
              </w:rPr>
              <w:t>. Голови) Наглядової ради Товариства, що діяли на момент проведення  цих Загальних зборів Товариства, припиненими з моменту прийняття цього рішення Загальними зборами Товариства.</w:t>
            </w:r>
          </w:p>
        </w:tc>
      </w:tr>
      <w:tr w:rsidR="008C3425" w:rsidRPr="00EE720A" w:rsidTr="007432C1">
        <w:tc>
          <w:tcPr>
            <w:tcW w:w="10632" w:type="dxa"/>
            <w:tcBorders>
              <w:top w:val="single" w:sz="4" w:space="0" w:color="auto"/>
              <w:left w:val="single" w:sz="4" w:space="0" w:color="auto"/>
              <w:bottom w:val="single" w:sz="4" w:space="0" w:color="auto"/>
              <w:right w:val="single" w:sz="4" w:space="0" w:color="auto"/>
            </w:tcBorders>
            <w:shd w:val="clear" w:color="auto" w:fill="auto"/>
          </w:tcPr>
          <w:p w:rsidR="008C3425" w:rsidRPr="00EE720A" w:rsidRDefault="008C3425" w:rsidP="007432C1">
            <w:pPr>
              <w:jc w:val="both"/>
              <w:rPr>
                <w:b/>
                <w:sz w:val="20"/>
                <w:szCs w:val="20"/>
                <w:lang w:val="uk-UA"/>
              </w:rPr>
            </w:pPr>
            <w:r w:rsidRPr="00EE720A">
              <w:rPr>
                <w:b/>
                <w:sz w:val="20"/>
                <w:szCs w:val="20"/>
                <w:lang w:val="uk-UA"/>
              </w:rPr>
              <w:t>13. Про обрання членів Наглядової ради Товариства.</w:t>
            </w:r>
          </w:p>
          <w:p w:rsidR="008C3425" w:rsidRPr="00EE720A" w:rsidRDefault="008C3425" w:rsidP="007432C1">
            <w:pPr>
              <w:jc w:val="both"/>
              <w:rPr>
                <w:sz w:val="20"/>
                <w:szCs w:val="20"/>
                <w:lang w:val="uk-UA"/>
              </w:rPr>
            </w:pPr>
            <w:r w:rsidRPr="00EE720A">
              <w:rPr>
                <w:sz w:val="20"/>
                <w:szCs w:val="20"/>
                <w:lang w:val="uk-UA"/>
              </w:rPr>
              <w:t>* Обрання членів Наглядової ради Товариства здійснюється із числа кандидатів, запропонованих акціонерами.</w:t>
            </w:r>
          </w:p>
        </w:tc>
      </w:tr>
      <w:tr w:rsidR="008C3425" w:rsidRPr="00EE720A" w:rsidTr="007432C1">
        <w:tc>
          <w:tcPr>
            <w:tcW w:w="10632" w:type="dxa"/>
            <w:tcBorders>
              <w:top w:val="single" w:sz="4" w:space="0" w:color="auto"/>
              <w:left w:val="single" w:sz="4" w:space="0" w:color="auto"/>
              <w:bottom w:val="single" w:sz="4" w:space="0" w:color="auto"/>
              <w:right w:val="single" w:sz="4" w:space="0" w:color="auto"/>
            </w:tcBorders>
            <w:shd w:val="clear" w:color="auto" w:fill="auto"/>
          </w:tcPr>
          <w:p w:rsidR="008C3425" w:rsidRPr="00EE720A" w:rsidRDefault="008C3425" w:rsidP="007432C1">
            <w:pPr>
              <w:jc w:val="both"/>
              <w:rPr>
                <w:b/>
                <w:sz w:val="20"/>
                <w:szCs w:val="20"/>
                <w:lang w:val="uk-UA"/>
              </w:rPr>
            </w:pPr>
            <w:r w:rsidRPr="00EE720A">
              <w:rPr>
                <w:b/>
                <w:sz w:val="20"/>
                <w:szCs w:val="20"/>
                <w:lang w:val="uk-UA"/>
              </w:rPr>
              <w:t>14. Затвердження умов договору (контракту), що укладається  з членами Наглядової ради Товариства та визначення особи, яка уповноважується на підписання від імені Товариства договору (контракту) з членами Наглядової ради Товариства.</w:t>
            </w:r>
          </w:p>
          <w:p w:rsidR="008C3425" w:rsidRPr="00EE720A" w:rsidRDefault="008C3425" w:rsidP="007432C1">
            <w:pPr>
              <w:jc w:val="both"/>
              <w:rPr>
                <w:sz w:val="20"/>
                <w:szCs w:val="20"/>
                <w:lang w:val="uk-UA"/>
              </w:rPr>
            </w:pPr>
            <w:r w:rsidRPr="00EE720A">
              <w:rPr>
                <w:sz w:val="20"/>
                <w:szCs w:val="20"/>
                <w:lang w:val="uk-UA"/>
              </w:rPr>
              <w:t xml:space="preserve">1. Затвердити умови цивільно-правового договору з членом (в </w:t>
            </w:r>
            <w:proofErr w:type="spellStart"/>
            <w:r w:rsidRPr="00EE720A">
              <w:rPr>
                <w:sz w:val="20"/>
                <w:szCs w:val="20"/>
                <w:lang w:val="uk-UA"/>
              </w:rPr>
              <w:t>т.ч</w:t>
            </w:r>
            <w:proofErr w:type="spellEnd"/>
            <w:r w:rsidRPr="00EE720A">
              <w:rPr>
                <w:sz w:val="20"/>
                <w:szCs w:val="20"/>
                <w:lang w:val="uk-UA"/>
              </w:rPr>
              <w:t>. Головою)  Наглядової ради Товариства.</w:t>
            </w:r>
          </w:p>
          <w:p w:rsidR="008C3425" w:rsidRPr="00EE720A" w:rsidRDefault="008C3425" w:rsidP="007432C1">
            <w:pPr>
              <w:jc w:val="both"/>
              <w:rPr>
                <w:b/>
                <w:sz w:val="20"/>
                <w:szCs w:val="20"/>
                <w:lang w:val="uk-UA"/>
              </w:rPr>
            </w:pPr>
            <w:r w:rsidRPr="00EE720A">
              <w:rPr>
                <w:sz w:val="20"/>
                <w:szCs w:val="20"/>
                <w:lang w:val="uk-UA"/>
              </w:rPr>
              <w:t xml:space="preserve">2. Уповноважити Голову правління Товариства або особу, що виконує його обов’язки підписати  від імені Товариства цивільно-правовий договір з членом (в </w:t>
            </w:r>
            <w:proofErr w:type="spellStart"/>
            <w:r w:rsidRPr="00EE720A">
              <w:rPr>
                <w:sz w:val="20"/>
                <w:szCs w:val="20"/>
                <w:lang w:val="uk-UA"/>
              </w:rPr>
              <w:t>т.ч</w:t>
            </w:r>
            <w:proofErr w:type="spellEnd"/>
            <w:r w:rsidRPr="00EE720A">
              <w:rPr>
                <w:sz w:val="20"/>
                <w:szCs w:val="20"/>
                <w:lang w:val="uk-UA"/>
              </w:rPr>
              <w:t>. Головою) Наглядової ради Товариства відповідно до внутрішніх положень Товариства та цього рішення.</w:t>
            </w:r>
          </w:p>
        </w:tc>
      </w:tr>
    </w:tbl>
    <w:p w:rsidR="008C3425" w:rsidRPr="003360F5" w:rsidRDefault="008C3425" w:rsidP="008C3425">
      <w:pPr>
        <w:suppressAutoHyphens/>
        <w:ind w:firstLine="426"/>
        <w:jc w:val="both"/>
        <w:rPr>
          <w:sz w:val="20"/>
          <w:szCs w:val="20"/>
          <w:shd w:val="clear" w:color="auto" w:fill="FFFFFF"/>
          <w:lang w:val="uk-UA"/>
        </w:rPr>
      </w:pPr>
      <w:r w:rsidRPr="003360F5">
        <w:rPr>
          <w:sz w:val="20"/>
          <w:szCs w:val="20"/>
          <w:shd w:val="clear" w:color="auto" w:fill="FFFFFF"/>
          <w:lang w:val="uk-UA"/>
        </w:rPr>
        <w:t xml:space="preserve">Інформація  з проектами рішень щодо кожного з питань, включених до проекту порядку денного, а також інша інформація, що передбачена законодавством розміщена на веб-сайті Товариства за </w:t>
      </w:r>
      <w:proofErr w:type="spellStart"/>
      <w:r w:rsidRPr="003360F5">
        <w:rPr>
          <w:sz w:val="20"/>
          <w:szCs w:val="20"/>
          <w:shd w:val="clear" w:color="auto" w:fill="FFFFFF"/>
          <w:lang w:val="uk-UA"/>
        </w:rPr>
        <w:t>адресою</w:t>
      </w:r>
      <w:proofErr w:type="spellEnd"/>
      <w:r w:rsidRPr="003360F5">
        <w:rPr>
          <w:sz w:val="20"/>
          <w:szCs w:val="20"/>
          <w:shd w:val="clear" w:color="auto" w:fill="FFFFFF"/>
          <w:lang w:val="uk-UA"/>
        </w:rPr>
        <w:t xml:space="preserve">:  </w:t>
      </w:r>
      <w:hyperlink r:id="rId5" w:history="1">
        <w:r w:rsidRPr="003360F5">
          <w:rPr>
            <w:rStyle w:val="a3"/>
            <w:sz w:val="20"/>
            <w:szCs w:val="20"/>
            <w:shd w:val="clear" w:color="auto" w:fill="FFFFFF"/>
            <w:lang w:val="uk-UA"/>
          </w:rPr>
          <w:t>https://khgor.104.ua/</w:t>
        </w:r>
      </w:hyperlink>
      <w:r w:rsidRPr="003360F5">
        <w:rPr>
          <w:sz w:val="20"/>
          <w:szCs w:val="20"/>
          <w:shd w:val="clear" w:color="auto" w:fill="FFFFFF"/>
          <w:lang w:val="uk-UA"/>
        </w:rPr>
        <w:t xml:space="preserve"> </w:t>
      </w:r>
      <w:r w:rsidRPr="003360F5">
        <w:rPr>
          <w:sz w:val="20"/>
          <w:szCs w:val="20"/>
          <w:shd w:val="clear" w:color="auto" w:fill="FFFFFF"/>
        </w:rPr>
        <w:t>.</w:t>
      </w:r>
    </w:p>
    <w:p w:rsidR="008C3425" w:rsidRPr="003360F5" w:rsidRDefault="008C3425" w:rsidP="008C3425">
      <w:pPr>
        <w:ind w:firstLine="426"/>
        <w:jc w:val="both"/>
        <w:rPr>
          <w:sz w:val="20"/>
          <w:szCs w:val="20"/>
          <w:lang w:val="uk-UA"/>
        </w:rPr>
      </w:pPr>
      <w:r w:rsidRPr="003360F5">
        <w:rPr>
          <w:sz w:val="20"/>
          <w:szCs w:val="20"/>
          <w:lang w:val="uk-UA"/>
        </w:rPr>
        <w:t xml:space="preserve">Від дати надіслання цього повідомлення про проведення Загальних зборів Товариства до дати проведення Загальних зборів Товариства, в порядку передбаченому статтею 36 Закону України «Про акціонерні товариства», акціонери мають можливість ознайомитися з документами, необхідними для прийняття рішень з питань порядку денного Загальних зборів Товариства та з проектом договору про викуп Товариством акцій відповідно до статті 69 Закону України «Про акціонерні </w:t>
      </w:r>
      <w:r w:rsidRPr="003360F5">
        <w:rPr>
          <w:sz w:val="20"/>
          <w:szCs w:val="20"/>
          <w:lang w:val="uk-UA"/>
        </w:rPr>
        <w:lastRenderedPageBreak/>
        <w:t xml:space="preserve">товариства» у приміщенні Товариства за </w:t>
      </w:r>
      <w:proofErr w:type="spellStart"/>
      <w:r w:rsidRPr="003360F5">
        <w:rPr>
          <w:sz w:val="20"/>
          <w:szCs w:val="20"/>
          <w:lang w:val="uk-UA"/>
        </w:rPr>
        <w:t>адресою</w:t>
      </w:r>
      <w:proofErr w:type="spellEnd"/>
      <w:r w:rsidRPr="003360F5">
        <w:rPr>
          <w:sz w:val="20"/>
          <w:szCs w:val="20"/>
          <w:lang w:val="uk-UA"/>
        </w:rPr>
        <w:t xml:space="preserve">: м. Харків, вул. </w:t>
      </w:r>
      <w:proofErr w:type="spellStart"/>
      <w:r w:rsidRPr="003360F5">
        <w:rPr>
          <w:sz w:val="20"/>
          <w:szCs w:val="20"/>
          <w:lang w:val="uk-UA"/>
        </w:rPr>
        <w:t>Москалівська</w:t>
      </w:r>
      <w:proofErr w:type="spellEnd"/>
      <w:r w:rsidRPr="003360F5">
        <w:rPr>
          <w:sz w:val="20"/>
          <w:szCs w:val="20"/>
          <w:lang w:val="uk-UA"/>
        </w:rPr>
        <w:t>, 57/59 (</w:t>
      </w:r>
      <w:proofErr w:type="spellStart"/>
      <w:r w:rsidRPr="003360F5">
        <w:rPr>
          <w:sz w:val="20"/>
          <w:szCs w:val="20"/>
          <w:lang w:val="uk-UA"/>
        </w:rPr>
        <w:t>каб</w:t>
      </w:r>
      <w:proofErr w:type="spellEnd"/>
      <w:r w:rsidRPr="003360F5">
        <w:rPr>
          <w:sz w:val="20"/>
          <w:szCs w:val="20"/>
          <w:lang w:val="uk-UA"/>
        </w:rPr>
        <w:t>. № 1</w:t>
      </w:r>
      <w:r w:rsidRPr="008C3425">
        <w:rPr>
          <w:sz w:val="20"/>
          <w:szCs w:val="20"/>
        </w:rPr>
        <w:t>07</w:t>
      </w:r>
      <w:r w:rsidRPr="003360F5">
        <w:rPr>
          <w:sz w:val="20"/>
          <w:szCs w:val="20"/>
          <w:lang w:val="uk-UA"/>
        </w:rPr>
        <w:t>), щоденно (крім суботи та неділі) з 10:00 год. до 16:00 год. (обідня перерва з 12:30 год. до 13:00 год.), а в день проведення Загальних зборів Товариства - також у місці їх проведення. Відповідальною особою за порядок ознайомлення акціонерів із зазначеними документами є Голова Правління Товариства.</w:t>
      </w:r>
      <w:r w:rsidRPr="003360F5">
        <w:rPr>
          <w:lang w:val="uk-UA"/>
        </w:rPr>
        <w:t xml:space="preserve"> </w:t>
      </w:r>
      <w:r w:rsidRPr="003360F5">
        <w:rPr>
          <w:sz w:val="20"/>
          <w:szCs w:val="20"/>
          <w:lang w:val="uk-UA"/>
        </w:rPr>
        <w:t>Контактна особа – Терещенко Ніна Петрівна, фахівець з корпоративних відносин.  Довідки за телефоном (057)763-07-92.</w:t>
      </w:r>
    </w:p>
    <w:p w:rsidR="008C3425" w:rsidRPr="00EE720A" w:rsidRDefault="008C3425" w:rsidP="008C3425">
      <w:pPr>
        <w:suppressAutoHyphens/>
        <w:ind w:firstLine="426"/>
        <w:jc w:val="both"/>
        <w:rPr>
          <w:sz w:val="20"/>
          <w:szCs w:val="20"/>
          <w:lang w:val="uk-UA"/>
        </w:rPr>
      </w:pPr>
      <w:r w:rsidRPr="00EE720A">
        <w:rPr>
          <w:sz w:val="20"/>
          <w:szCs w:val="20"/>
          <w:lang w:val="uk-UA"/>
        </w:rPr>
        <w:t xml:space="preserve">Кожний акціонер має право </w:t>
      </w:r>
      <w:proofErr w:type="spellStart"/>
      <w:r w:rsidRPr="00EE720A">
        <w:rPr>
          <w:sz w:val="20"/>
          <w:szCs w:val="20"/>
          <w:lang w:val="uk-UA"/>
        </w:rPr>
        <w:t>внести</w:t>
      </w:r>
      <w:proofErr w:type="spellEnd"/>
      <w:r w:rsidRPr="00EE720A">
        <w:rPr>
          <w:sz w:val="20"/>
          <w:szCs w:val="20"/>
          <w:lang w:val="uk-UA"/>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8C3425" w:rsidRPr="00EE720A" w:rsidRDefault="008C3425" w:rsidP="008C3425">
      <w:pPr>
        <w:ind w:firstLine="426"/>
        <w:jc w:val="both"/>
        <w:rPr>
          <w:sz w:val="20"/>
          <w:szCs w:val="20"/>
          <w:lang w:val="uk-UA"/>
        </w:rPr>
      </w:pPr>
      <w:r w:rsidRPr="00EE720A">
        <w:rPr>
          <w:sz w:val="20"/>
          <w:szCs w:val="20"/>
          <w:lang w:val="uk-UA"/>
        </w:rPr>
        <w:t xml:space="preserve">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 </w:t>
      </w:r>
    </w:p>
    <w:p w:rsidR="008C3425" w:rsidRPr="00EE720A" w:rsidRDefault="008C3425" w:rsidP="008C3425">
      <w:pPr>
        <w:suppressAutoHyphens/>
        <w:ind w:firstLine="426"/>
        <w:jc w:val="both"/>
        <w:rPr>
          <w:sz w:val="20"/>
          <w:szCs w:val="20"/>
          <w:lang w:val="uk-UA"/>
        </w:rPr>
      </w:pPr>
      <w:r w:rsidRPr="00EE720A">
        <w:rPr>
          <w:sz w:val="20"/>
          <w:szCs w:val="20"/>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представників акціонера, реєструється</w:t>
      </w:r>
      <w:r w:rsidRPr="00873341">
        <w:rPr>
          <w:color w:val="984806"/>
          <w:sz w:val="20"/>
          <w:szCs w:val="20"/>
          <w:lang w:val="uk-UA"/>
        </w:rPr>
        <w:t xml:space="preserve"> </w:t>
      </w:r>
      <w:r w:rsidRPr="00FD62E5">
        <w:rPr>
          <w:sz w:val="20"/>
          <w:szCs w:val="20"/>
          <w:lang w:val="uk-UA"/>
        </w:rPr>
        <w:t>той представник, довіреність якому видана пізніше. У разі, якщо акція перебуває у спільній власності декількох осіб,</w:t>
      </w:r>
      <w:r w:rsidRPr="00EE720A">
        <w:rPr>
          <w:sz w:val="20"/>
          <w:szCs w:val="20"/>
          <w:lang w:val="uk-UA"/>
        </w:rPr>
        <w:t xml:space="preserve"> повноваження щодо голосування на Загальних зборах Товариства  здійснюється за їх згодою одним із співвласників або їх загальним представником.</w:t>
      </w:r>
    </w:p>
    <w:p w:rsidR="008C3425" w:rsidRPr="00EE720A" w:rsidRDefault="008C3425" w:rsidP="008C3425">
      <w:pPr>
        <w:suppressAutoHyphens/>
        <w:ind w:firstLine="426"/>
        <w:jc w:val="both"/>
        <w:rPr>
          <w:sz w:val="20"/>
          <w:szCs w:val="20"/>
          <w:lang w:val="uk-UA"/>
        </w:rPr>
      </w:pPr>
      <w:r w:rsidRPr="00EE720A">
        <w:rPr>
          <w:sz w:val="20"/>
          <w:szCs w:val="20"/>
          <w:lang w:val="uk-UA"/>
        </w:rPr>
        <w:t>Загальна кількість акцій Товариства складає 3 500 000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3 386 350 шт.</w:t>
      </w:r>
    </w:p>
    <w:p w:rsidR="008C3425" w:rsidRPr="00873341" w:rsidRDefault="008C3425" w:rsidP="008C3425">
      <w:pPr>
        <w:suppressAutoHyphens/>
        <w:ind w:firstLine="426"/>
        <w:jc w:val="both"/>
        <w:rPr>
          <w:color w:val="984806"/>
          <w:sz w:val="20"/>
          <w:szCs w:val="20"/>
          <w:lang w:val="uk-UA"/>
        </w:rPr>
      </w:pPr>
    </w:p>
    <w:p w:rsidR="008C3425" w:rsidRPr="00873341" w:rsidRDefault="008C3425" w:rsidP="008C3425">
      <w:pPr>
        <w:jc w:val="center"/>
        <w:rPr>
          <w:b/>
          <w:sz w:val="20"/>
          <w:szCs w:val="20"/>
          <w:lang w:val="uk-UA"/>
        </w:rPr>
      </w:pPr>
      <w:r w:rsidRPr="00873341">
        <w:rPr>
          <w:b/>
          <w:sz w:val="20"/>
          <w:szCs w:val="20"/>
          <w:lang w:val="uk-UA"/>
        </w:rPr>
        <w:t>Основні показники фінансово-господарської діяльності  Товариства за 201</w:t>
      </w:r>
      <w:r>
        <w:rPr>
          <w:b/>
          <w:sz w:val="20"/>
          <w:szCs w:val="20"/>
          <w:lang w:val="uk-UA"/>
        </w:rPr>
        <w:t>8</w:t>
      </w:r>
      <w:r w:rsidRPr="00873341">
        <w:rPr>
          <w:b/>
          <w:sz w:val="20"/>
          <w:szCs w:val="20"/>
          <w:lang w:val="uk-UA"/>
        </w:rPr>
        <w:t xml:space="preserve"> – 201</w:t>
      </w:r>
      <w:r>
        <w:rPr>
          <w:b/>
          <w:sz w:val="20"/>
          <w:szCs w:val="20"/>
          <w:lang w:val="uk-UA"/>
        </w:rPr>
        <w:t>9</w:t>
      </w:r>
      <w:r w:rsidRPr="00873341">
        <w:rPr>
          <w:b/>
          <w:sz w:val="20"/>
          <w:szCs w:val="20"/>
          <w:lang w:val="uk-UA"/>
        </w:rPr>
        <w:t xml:space="preserve"> рр. (тис. грн).</w:t>
      </w:r>
    </w:p>
    <w:p w:rsidR="008C3425" w:rsidRPr="00873341" w:rsidRDefault="008C3425" w:rsidP="008C3425">
      <w:pPr>
        <w:ind w:firstLine="3"/>
        <w:jc w:val="both"/>
        <w:rPr>
          <w:sz w:val="16"/>
          <w:szCs w:val="16"/>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409"/>
        <w:gridCol w:w="1985"/>
      </w:tblGrid>
      <w:tr w:rsidR="008C3425" w:rsidRPr="00873341" w:rsidTr="00FD515F">
        <w:tc>
          <w:tcPr>
            <w:tcW w:w="6096" w:type="dxa"/>
            <w:vMerge w:val="restart"/>
            <w:shd w:val="clear" w:color="auto" w:fill="auto"/>
          </w:tcPr>
          <w:p w:rsidR="008C3425" w:rsidRPr="00873341" w:rsidRDefault="008C3425" w:rsidP="007432C1">
            <w:pPr>
              <w:jc w:val="center"/>
              <w:rPr>
                <w:b/>
                <w:sz w:val="20"/>
                <w:szCs w:val="20"/>
                <w:lang w:val="uk-UA"/>
              </w:rPr>
            </w:pPr>
            <w:r w:rsidRPr="00873341">
              <w:rPr>
                <w:b/>
                <w:sz w:val="20"/>
                <w:szCs w:val="20"/>
                <w:lang w:val="uk-UA"/>
              </w:rPr>
              <w:t>Найменування показника</w:t>
            </w:r>
          </w:p>
        </w:tc>
        <w:tc>
          <w:tcPr>
            <w:tcW w:w="4394" w:type="dxa"/>
            <w:gridSpan w:val="2"/>
            <w:shd w:val="clear" w:color="auto" w:fill="auto"/>
          </w:tcPr>
          <w:p w:rsidR="008C3425" w:rsidRPr="00873341" w:rsidRDefault="008C3425" w:rsidP="007432C1">
            <w:pPr>
              <w:jc w:val="center"/>
              <w:rPr>
                <w:b/>
                <w:sz w:val="20"/>
                <w:szCs w:val="20"/>
                <w:lang w:val="uk-UA"/>
              </w:rPr>
            </w:pPr>
            <w:r w:rsidRPr="00873341">
              <w:rPr>
                <w:b/>
                <w:sz w:val="20"/>
                <w:szCs w:val="20"/>
                <w:lang w:val="uk-UA"/>
              </w:rPr>
              <w:t>період</w:t>
            </w:r>
          </w:p>
        </w:tc>
      </w:tr>
      <w:tr w:rsidR="008C3425" w:rsidRPr="00873341" w:rsidTr="00FD515F">
        <w:tc>
          <w:tcPr>
            <w:tcW w:w="6096" w:type="dxa"/>
            <w:vMerge/>
            <w:shd w:val="clear" w:color="auto" w:fill="auto"/>
          </w:tcPr>
          <w:p w:rsidR="008C3425" w:rsidRPr="00873341" w:rsidRDefault="008C3425" w:rsidP="007432C1">
            <w:pPr>
              <w:rPr>
                <w:sz w:val="20"/>
                <w:szCs w:val="20"/>
                <w:lang w:val="uk-UA"/>
              </w:rPr>
            </w:pPr>
          </w:p>
        </w:tc>
        <w:tc>
          <w:tcPr>
            <w:tcW w:w="2409" w:type="dxa"/>
            <w:shd w:val="clear" w:color="auto" w:fill="auto"/>
          </w:tcPr>
          <w:p w:rsidR="008C3425" w:rsidRPr="00873341" w:rsidRDefault="008C3425" w:rsidP="007432C1">
            <w:pPr>
              <w:jc w:val="center"/>
              <w:rPr>
                <w:b/>
                <w:sz w:val="20"/>
                <w:szCs w:val="20"/>
                <w:lang w:val="uk-UA"/>
              </w:rPr>
            </w:pPr>
            <w:r w:rsidRPr="00873341">
              <w:rPr>
                <w:b/>
                <w:sz w:val="20"/>
                <w:szCs w:val="20"/>
                <w:lang w:val="uk-UA"/>
              </w:rPr>
              <w:t>201</w:t>
            </w:r>
            <w:r>
              <w:rPr>
                <w:b/>
                <w:sz w:val="20"/>
                <w:szCs w:val="20"/>
                <w:lang w:val="uk-UA"/>
              </w:rPr>
              <w:t>9</w:t>
            </w:r>
            <w:r w:rsidRPr="00873341">
              <w:rPr>
                <w:b/>
                <w:sz w:val="20"/>
                <w:szCs w:val="20"/>
                <w:lang w:val="uk-UA"/>
              </w:rPr>
              <w:t>р.</w:t>
            </w:r>
            <w:r w:rsidRPr="00873341">
              <w:rPr>
                <w:sz w:val="20"/>
                <w:szCs w:val="20"/>
                <w:lang w:val="uk-UA"/>
              </w:rPr>
              <w:t>*</w:t>
            </w:r>
          </w:p>
        </w:tc>
        <w:tc>
          <w:tcPr>
            <w:tcW w:w="1985" w:type="dxa"/>
            <w:shd w:val="clear" w:color="auto" w:fill="auto"/>
          </w:tcPr>
          <w:p w:rsidR="008C3425" w:rsidRPr="00873341" w:rsidRDefault="008C3425" w:rsidP="007432C1">
            <w:pPr>
              <w:jc w:val="center"/>
              <w:rPr>
                <w:b/>
                <w:sz w:val="20"/>
                <w:szCs w:val="20"/>
                <w:lang w:val="uk-UA"/>
              </w:rPr>
            </w:pPr>
            <w:r w:rsidRPr="00873341">
              <w:rPr>
                <w:b/>
                <w:sz w:val="20"/>
                <w:szCs w:val="20"/>
                <w:lang w:val="uk-UA"/>
              </w:rPr>
              <w:t>201</w:t>
            </w:r>
            <w:r>
              <w:rPr>
                <w:b/>
                <w:sz w:val="20"/>
                <w:szCs w:val="20"/>
                <w:lang w:val="uk-UA"/>
              </w:rPr>
              <w:t>8</w:t>
            </w:r>
            <w:r w:rsidRPr="00873341">
              <w:rPr>
                <w:b/>
                <w:sz w:val="20"/>
                <w:szCs w:val="20"/>
                <w:lang w:val="uk-UA"/>
              </w:rPr>
              <w:t>р.</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Усього активів</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494271</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471039</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Основні засоби (за залишковою вартістю)</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165456</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163908</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Запаси</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12158</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14886</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Сумарна дебіторська заборгованість</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258807</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232169</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color w:val="7030A0"/>
                <w:sz w:val="20"/>
                <w:szCs w:val="20"/>
                <w:lang w:val="uk-UA"/>
              </w:rPr>
              <w:t>Гроші</w:t>
            </w:r>
            <w:r w:rsidRPr="00873341">
              <w:rPr>
                <w:sz w:val="20"/>
                <w:szCs w:val="20"/>
                <w:lang w:val="uk-UA"/>
              </w:rPr>
              <w:t xml:space="preserve"> та їх еквіваленти</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17792</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31750</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Нерозподілений прибуток (непокритий збиток)</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(73361)</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(149613)</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Власний капітал</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(68409)</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(144661)</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Зареєстрований (пайовий/статутний) капітал</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875</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875</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Довгострокові зобов’язання і забезпечення</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50560</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59025</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Поточні зобов’язання і забезпечення</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512120</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556675</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 xml:space="preserve">Чистий фінансовий результат: прибуток (збиток) </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77552</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(168192)</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Середньорічна кількість акцій (шт.)</w:t>
            </w:r>
          </w:p>
        </w:tc>
        <w:tc>
          <w:tcPr>
            <w:tcW w:w="2409"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3500000</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3500000</w:t>
            </w:r>
          </w:p>
        </w:tc>
      </w:tr>
      <w:tr w:rsidR="008C3425" w:rsidRPr="00873341" w:rsidTr="00FD515F">
        <w:tc>
          <w:tcPr>
            <w:tcW w:w="6096" w:type="dxa"/>
            <w:shd w:val="clear" w:color="auto" w:fill="auto"/>
            <w:vAlign w:val="center"/>
          </w:tcPr>
          <w:p w:rsidR="008C3425" w:rsidRPr="00873341" w:rsidRDefault="008C3425" w:rsidP="007432C1">
            <w:pPr>
              <w:rPr>
                <w:sz w:val="20"/>
                <w:szCs w:val="20"/>
                <w:lang w:val="uk-UA"/>
              </w:rPr>
            </w:pPr>
            <w:r w:rsidRPr="00873341">
              <w:rPr>
                <w:sz w:val="20"/>
                <w:szCs w:val="20"/>
                <w:lang w:val="uk-UA"/>
              </w:rPr>
              <w:t xml:space="preserve">Чистий прибуток (збиток) на одну просту акцію (грн) </w:t>
            </w:r>
          </w:p>
        </w:tc>
        <w:tc>
          <w:tcPr>
            <w:tcW w:w="2409" w:type="dxa"/>
            <w:shd w:val="clear" w:color="auto" w:fill="auto"/>
            <w:vAlign w:val="center"/>
          </w:tcPr>
          <w:p w:rsidR="008C3425" w:rsidRPr="00EE720A" w:rsidRDefault="008C3425" w:rsidP="007432C1">
            <w:pPr>
              <w:jc w:val="center"/>
              <w:rPr>
                <w:sz w:val="20"/>
                <w:szCs w:val="20"/>
                <w:lang w:val="uk-UA"/>
              </w:rPr>
            </w:pPr>
            <w:r w:rsidRPr="00EE720A">
              <w:rPr>
                <w:sz w:val="20"/>
                <w:szCs w:val="20"/>
                <w:lang w:val="en-US"/>
              </w:rPr>
              <w:t>22</w:t>
            </w:r>
            <w:r w:rsidRPr="00EE720A">
              <w:rPr>
                <w:sz w:val="20"/>
                <w:szCs w:val="20"/>
                <w:lang w:val="uk-UA"/>
              </w:rPr>
              <w:t>,15</w:t>
            </w:r>
          </w:p>
        </w:tc>
        <w:tc>
          <w:tcPr>
            <w:tcW w:w="1985" w:type="dxa"/>
            <w:shd w:val="clear" w:color="auto" w:fill="auto"/>
            <w:vAlign w:val="center"/>
          </w:tcPr>
          <w:p w:rsidR="008C3425" w:rsidRPr="00EE720A" w:rsidRDefault="008C3425" w:rsidP="007432C1">
            <w:pPr>
              <w:jc w:val="center"/>
              <w:rPr>
                <w:sz w:val="20"/>
                <w:szCs w:val="20"/>
                <w:lang w:val="en-US"/>
              </w:rPr>
            </w:pPr>
            <w:r w:rsidRPr="00EE720A">
              <w:rPr>
                <w:sz w:val="20"/>
                <w:szCs w:val="20"/>
                <w:lang w:val="en-US"/>
              </w:rPr>
              <w:t>(47,06)</w:t>
            </w:r>
          </w:p>
        </w:tc>
      </w:tr>
    </w:tbl>
    <w:p w:rsidR="008C3425" w:rsidRPr="00873341" w:rsidRDefault="008C3425" w:rsidP="008C3425">
      <w:pPr>
        <w:ind w:firstLine="709"/>
        <w:jc w:val="both"/>
        <w:rPr>
          <w:sz w:val="20"/>
          <w:szCs w:val="20"/>
          <w:lang w:val="uk-UA"/>
        </w:rPr>
      </w:pPr>
      <w:r w:rsidRPr="00873341">
        <w:rPr>
          <w:sz w:val="20"/>
          <w:szCs w:val="20"/>
          <w:lang w:val="uk-UA"/>
        </w:rPr>
        <w:t xml:space="preserve">* Попередні дані.   Остаточна  інформація, підтверджена аудиторським висновком,  буде надана на Загальних зборах Товариства. </w:t>
      </w:r>
    </w:p>
    <w:p w:rsidR="008C3425" w:rsidRPr="00873341" w:rsidRDefault="008C3425" w:rsidP="008C3425">
      <w:pPr>
        <w:suppressAutoHyphens/>
        <w:ind w:firstLine="426"/>
        <w:jc w:val="both"/>
        <w:rPr>
          <w:color w:val="984806"/>
          <w:sz w:val="20"/>
          <w:szCs w:val="20"/>
          <w:lang w:val="uk-UA"/>
        </w:rPr>
      </w:pPr>
    </w:p>
    <w:p w:rsidR="008C3425" w:rsidRDefault="008C3425" w:rsidP="008C3425">
      <w:pPr>
        <w:ind w:firstLine="720"/>
        <w:jc w:val="right"/>
        <w:rPr>
          <w:sz w:val="20"/>
          <w:szCs w:val="20"/>
          <w:lang w:val="uk-UA"/>
        </w:rPr>
      </w:pPr>
      <w:r w:rsidRPr="00873341">
        <w:rPr>
          <w:sz w:val="20"/>
          <w:szCs w:val="20"/>
          <w:lang w:val="uk-UA"/>
        </w:rPr>
        <w:tab/>
      </w:r>
    </w:p>
    <w:p w:rsidR="008C3425" w:rsidRDefault="008C3425" w:rsidP="008C3425">
      <w:pPr>
        <w:ind w:firstLine="720"/>
        <w:jc w:val="right"/>
        <w:rPr>
          <w:sz w:val="20"/>
          <w:szCs w:val="20"/>
          <w:lang w:val="uk-UA"/>
        </w:rPr>
      </w:pPr>
    </w:p>
    <w:p w:rsidR="008C3425" w:rsidRPr="00EE720A" w:rsidRDefault="008C3425" w:rsidP="008C3425">
      <w:pPr>
        <w:ind w:firstLine="720"/>
        <w:jc w:val="right"/>
        <w:rPr>
          <w:b/>
          <w:sz w:val="20"/>
          <w:szCs w:val="20"/>
          <w:lang w:val="uk-UA"/>
        </w:rPr>
      </w:pPr>
      <w:r w:rsidRPr="00EE720A">
        <w:rPr>
          <w:b/>
          <w:sz w:val="20"/>
          <w:szCs w:val="20"/>
          <w:lang w:val="uk-UA"/>
        </w:rPr>
        <w:t>АТ «ХАРКІВМІСЬКГАЗ»</w:t>
      </w:r>
    </w:p>
    <w:p w:rsidR="008C3425" w:rsidRPr="00873341" w:rsidRDefault="008C3425" w:rsidP="008C3425">
      <w:pPr>
        <w:ind w:firstLine="426"/>
        <w:jc w:val="both"/>
        <w:rPr>
          <w:b/>
          <w:sz w:val="20"/>
          <w:szCs w:val="20"/>
          <w:lang w:val="uk-UA"/>
        </w:rPr>
      </w:pPr>
    </w:p>
    <w:p w:rsidR="00B2324E" w:rsidRDefault="00B2324E"/>
    <w:sectPr w:rsidR="00B2324E" w:rsidSect="00D60AF4">
      <w:pgSz w:w="11906" w:h="16838"/>
      <w:pgMar w:top="397" w:right="454"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25"/>
    <w:rsid w:val="008C3425"/>
    <w:rsid w:val="00B2324E"/>
    <w:rsid w:val="00FD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34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3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hgor.104.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2556</Words>
  <Characters>14573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Терещенко Ніна Петрівна</dc:creator>
  <cp:lastModifiedBy>Терещенко Ніна Петрівна</cp:lastModifiedBy>
  <cp:revision>2</cp:revision>
  <dcterms:created xsi:type="dcterms:W3CDTF">2020-02-20T13:08:00Z</dcterms:created>
  <dcterms:modified xsi:type="dcterms:W3CDTF">2020-02-20T13:10:00Z</dcterms:modified>
</cp:coreProperties>
</file>