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59" w:rsidRPr="00EB49A0" w:rsidRDefault="004B5259" w:rsidP="004B5259">
      <w:pPr>
        <w:pStyle w:val="a3"/>
        <w:ind w:left="0"/>
        <w:jc w:val="center"/>
        <w:rPr>
          <w:b/>
          <w:sz w:val="22"/>
          <w:szCs w:val="22"/>
        </w:rPr>
      </w:pPr>
      <w:r w:rsidRPr="00EB49A0">
        <w:rPr>
          <w:b/>
          <w:sz w:val="22"/>
          <w:szCs w:val="22"/>
        </w:rPr>
        <w:t xml:space="preserve">Повідомлення про проведення позачергових Загальних зборів акціонерів </w:t>
      </w:r>
      <w:r w:rsidR="008C0ADC">
        <w:rPr>
          <w:b/>
          <w:sz w:val="22"/>
          <w:szCs w:val="22"/>
        </w:rPr>
        <w:t xml:space="preserve">                                            </w:t>
      </w:r>
      <w:proofErr w:type="spellStart"/>
      <w:r w:rsidR="008C0ADC">
        <w:rPr>
          <w:b/>
          <w:sz w:val="22"/>
          <w:szCs w:val="22"/>
        </w:rPr>
        <w:t>ПрАТ</w:t>
      </w:r>
      <w:proofErr w:type="spellEnd"/>
      <w:r w:rsidR="008C0ADC">
        <w:rPr>
          <w:b/>
          <w:sz w:val="22"/>
          <w:szCs w:val="22"/>
        </w:rPr>
        <w:t xml:space="preserve"> «РІВНЕ</w:t>
      </w:r>
      <w:r w:rsidRPr="00EB49A0">
        <w:rPr>
          <w:b/>
          <w:sz w:val="22"/>
          <w:szCs w:val="22"/>
        </w:rPr>
        <w:t>ОБЛЕН</w:t>
      </w:r>
      <w:r w:rsidR="007A681C">
        <w:rPr>
          <w:b/>
          <w:sz w:val="22"/>
          <w:szCs w:val="22"/>
        </w:rPr>
        <w:t>ЕРГО», які відбудуться 2</w:t>
      </w:r>
      <w:r w:rsidR="008C0ADC">
        <w:rPr>
          <w:b/>
          <w:sz w:val="22"/>
          <w:szCs w:val="22"/>
        </w:rPr>
        <w:t xml:space="preserve">6 </w:t>
      </w:r>
      <w:r w:rsidR="007A681C">
        <w:rPr>
          <w:b/>
          <w:sz w:val="22"/>
          <w:szCs w:val="22"/>
        </w:rPr>
        <w:t>лютого</w:t>
      </w:r>
      <w:r w:rsidR="008C0ADC">
        <w:rPr>
          <w:b/>
          <w:sz w:val="22"/>
          <w:szCs w:val="22"/>
        </w:rPr>
        <w:t xml:space="preserve"> 2021</w:t>
      </w:r>
      <w:r w:rsidRPr="00EB49A0">
        <w:rPr>
          <w:b/>
          <w:sz w:val="22"/>
          <w:szCs w:val="22"/>
        </w:rPr>
        <w:t xml:space="preserve"> р.</w:t>
      </w:r>
    </w:p>
    <w:p w:rsidR="004B5259" w:rsidRPr="00EB49A0" w:rsidRDefault="004B5259" w:rsidP="004B5259">
      <w:pPr>
        <w:pStyle w:val="a3"/>
        <w:ind w:left="0"/>
        <w:jc w:val="center"/>
        <w:rPr>
          <w:b/>
          <w:sz w:val="22"/>
          <w:szCs w:val="22"/>
        </w:rPr>
      </w:pPr>
    </w:p>
    <w:p w:rsidR="004B5259" w:rsidRPr="00EB49A0" w:rsidRDefault="008542AA" w:rsidP="004B5259">
      <w:pPr>
        <w:keepNext/>
        <w:jc w:val="center"/>
        <w:outlineLvl w:val="2"/>
        <w:rPr>
          <w:b/>
          <w:bCs/>
          <w:sz w:val="22"/>
          <w:szCs w:val="22"/>
        </w:rPr>
      </w:pPr>
      <w:r w:rsidRPr="00280BBB">
        <w:rPr>
          <w:b/>
          <w:bCs/>
          <w:sz w:val="22"/>
          <w:szCs w:val="22"/>
        </w:rPr>
        <w:t>ПРИВАТНЕ</w:t>
      </w:r>
      <w:r w:rsidRPr="00EB49A0">
        <w:rPr>
          <w:b/>
          <w:bCs/>
          <w:sz w:val="22"/>
          <w:szCs w:val="22"/>
        </w:rPr>
        <w:t xml:space="preserve"> </w:t>
      </w:r>
      <w:r>
        <w:rPr>
          <w:b/>
          <w:bCs/>
          <w:sz w:val="22"/>
          <w:szCs w:val="22"/>
        </w:rPr>
        <w:t>АКЦІОНЕРНЕ ТОВАРИСТВО «РІВНЕ</w:t>
      </w:r>
      <w:r w:rsidR="004B5259" w:rsidRPr="00EB49A0">
        <w:rPr>
          <w:b/>
          <w:bCs/>
          <w:sz w:val="22"/>
          <w:szCs w:val="22"/>
        </w:rPr>
        <w:t>ОБЛЕНЕРГО»</w:t>
      </w:r>
    </w:p>
    <w:p w:rsidR="004B5259" w:rsidRPr="00EB49A0" w:rsidRDefault="004B5259" w:rsidP="004B5259">
      <w:pPr>
        <w:jc w:val="center"/>
        <w:rPr>
          <w:sz w:val="22"/>
          <w:szCs w:val="22"/>
        </w:rPr>
      </w:pPr>
      <w:r w:rsidRPr="00EB49A0">
        <w:rPr>
          <w:sz w:val="22"/>
          <w:szCs w:val="22"/>
        </w:rPr>
        <w:t xml:space="preserve">(далі за текстом – «Товариство» або </w:t>
      </w:r>
      <w:proofErr w:type="spellStart"/>
      <w:r w:rsidR="008542AA">
        <w:rPr>
          <w:sz w:val="22"/>
          <w:szCs w:val="22"/>
        </w:rPr>
        <w:t>ПрАТ</w:t>
      </w:r>
      <w:proofErr w:type="spellEnd"/>
      <w:r w:rsidR="008542AA">
        <w:rPr>
          <w:sz w:val="22"/>
          <w:szCs w:val="22"/>
        </w:rPr>
        <w:t xml:space="preserve"> «РІВНЕ</w:t>
      </w:r>
      <w:r w:rsidRPr="00EB49A0">
        <w:rPr>
          <w:sz w:val="22"/>
          <w:szCs w:val="22"/>
        </w:rPr>
        <w:t>ОБЛЕНЕРГО»)</w:t>
      </w:r>
    </w:p>
    <w:p w:rsidR="004B5259" w:rsidRPr="00EB49A0" w:rsidRDefault="004B5259" w:rsidP="004B5259">
      <w:pPr>
        <w:keepNext/>
        <w:jc w:val="center"/>
        <w:outlineLvl w:val="2"/>
        <w:rPr>
          <w:rFonts w:ascii="Calibri Light" w:hAnsi="Calibri Light"/>
          <w:b/>
          <w:bCs/>
          <w:sz w:val="22"/>
          <w:szCs w:val="22"/>
        </w:rPr>
      </w:pPr>
      <w:r w:rsidRPr="00EB49A0">
        <w:rPr>
          <w:bCs/>
          <w:sz w:val="22"/>
          <w:szCs w:val="22"/>
        </w:rPr>
        <w:t xml:space="preserve">місцезнаходження якого: </w:t>
      </w:r>
      <w:r w:rsidR="00935015" w:rsidRPr="00280BBB">
        <w:rPr>
          <w:sz w:val="22"/>
          <w:szCs w:val="22"/>
        </w:rPr>
        <w:t xml:space="preserve">Україна, </w:t>
      </w:r>
      <w:smartTag w:uri="urn:schemas-microsoft-com:office:smarttags" w:element="metricconverter">
        <w:smartTagPr>
          <w:attr w:name="ProductID" w:val="33013, м"/>
        </w:smartTagPr>
        <w:r w:rsidR="00935015" w:rsidRPr="00280BBB">
          <w:rPr>
            <w:sz w:val="22"/>
            <w:szCs w:val="22"/>
          </w:rPr>
          <w:t>33013, м</w:t>
        </w:r>
      </w:smartTag>
      <w:r w:rsidR="00935015" w:rsidRPr="00280BBB">
        <w:rPr>
          <w:sz w:val="22"/>
          <w:szCs w:val="22"/>
        </w:rPr>
        <w:t>. Рівне, вул. Князя Володимира, буд. 71</w:t>
      </w:r>
    </w:p>
    <w:p w:rsidR="004B5259" w:rsidRPr="00EB49A0" w:rsidRDefault="004B5259" w:rsidP="004B5259">
      <w:pPr>
        <w:pStyle w:val="1"/>
        <w:ind w:firstLine="708"/>
        <w:jc w:val="both"/>
        <w:rPr>
          <w:color w:val="000000"/>
          <w:sz w:val="20"/>
          <w:szCs w:val="20"/>
        </w:rPr>
      </w:pPr>
    </w:p>
    <w:p w:rsidR="004B5259" w:rsidRPr="00EB49A0" w:rsidRDefault="004B5259" w:rsidP="004B5259">
      <w:pPr>
        <w:jc w:val="both"/>
        <w:rPr>
          <w:sz w:val="20"/>
          <w:szCs w:val="20"/>
        </w:rPr>
      </w:pPr>
      <w:r w:rsidRPr="00EB49A0">
        <w:rPr>
          <w:sz w:val="20"/>
          <w:szCs w:val="20"/>
        </w:rPr>
        <w:t>повідомляє, що Наглядовою радою</w:t>
      </w:r>
      <w:r w:rsidR="00E842E4" w:rsidRPr="00E842E4">
        <w:rPr>
          <w:sz w:val="20"/>
          <w:szCs w:val="20"/>
        </w:rPr>
        <w:t xml:space="preserve"> </w:t>
      </w:r>
      <w:r w:rsidRPr="00EB49A0">
        <w:rPr>
          <w:sz w:val="20"/>
          <w:szCs w:val="20"/>
        </w:rPr>
        <w:t xml:space="preserve">прийнято рішення про проведення позачергових Загальних зборів акціонерів </w:t>
      </w:r>
      <w:proofErr w:type="spellStart"/>
      <w:r w:rsidR="00CF0A70">
        <w:rPr>
          <w:sz w:val="22"/>
          <w:szCs w:val="22"/>
        </w:rPr>
        <w:t>ПрАТ</w:t>
      </w:r>
      <w:proofErr w:type="spellEnd"/>
      <w:r w:rsidR="00CF0A70">
        <w:rPr>
          <w:sz w:val="22"/>
          <w:szCs w:val="22"/>
        </w:rPr>
        <w:t xml:space="preserve"> «РІВНЕ</w:t>
      </w:r>
      <w:r w:rsidR="00CF0A70" w:rsidRPr="00EB49A0">
        <w:rPr>
          <w:sz w:val="22"/>
          <w:szCs w:val="22"/>
        </w:rPr>
        <w:t>ОБЛЕНЕРГО»</w:t>
      </w:r>
      <w:r w:rsidR="00CF0A70" w:rsidRPr="00EB49A0">
        <w:rPr>
          <w:sz w:val="20"/>
          <w:szCs w:val="20"/>
        </w:rPr>
        <w:t xml:space="preserve"> </w:t>
      </w:r>
      <w:r w:rsidRPr="00EB49A0">
        <w:rPr>
          <w:sz w:val="20"/>
          <w:szCs w:val="20"/>
        </w:rPr>
        <w:t xml:space="preserve">(надалі – «Загальні збори»),  які  відбудуться </w:t>
      </w:r>
      <w:r w:rsidR="007A681C">
        <w:rPr>
          <w:b/>
          <w:sz w:val="20"/>
          <w:szCs w:val="20"/>
        </w:rPr>
        <w:t xml:space="preserve"> 2</w:t>
      </w:r>
      <w:r w:rsidR="00E4003C">
        <w:rPr>
          <w:b/>
          <w:sz w:val="20"/>
          <w:szCs w:val="20"/>
        </w:rPr>
        <w:t xml:space="preserve">6 </w:t>
      </w:r>
      <w:r w:rsidR="007A681C">
        <w:rPr>
          <w:b/>
          <w:sz w:val="20"/>
          <w:szCs w:val="20"/>
        </w:rPr>
        <w:t>лютого</w:t>
      </w:r>
      <w:r w:rsidR="00E4003C">
        <w:rPr>
          <w:b/>
          <w:sz w:val="20"/>
          <w:szCs w:val="20"/>
        </w:rPr>
        <w:t xml:space="preserve"> 2021</w:t>
      </w:r>
      <w:r w:rsidRPr="00EB49A0">
        <w:rPr>
          <w:b/>
          <w:sz w:val="20"/>
          <w:szCs w:val="20"/>
        </w:rPr>
        <w:t xml:space="preserve"> року</w:t>
      </w:r>
      <w:r w:rsidRPr="00EB49A0">
        <w:rPr>
          <w:sz w:val="20"/>
          <w:szCs w:val="20"/>
        </w:rPr>
        <w:t xml:space="preserve"> за адресою:</w:t>
      </w:r>
      <w:r w:rsidR="00D76E5F" w:rsidRPr="00D76E5F">
        <w:rPr>
          <w:sz w:val="20"/>
          <w:szCs w:val="20"/>
        </w:rPr>
        <w:t xml:space="preserve"> </w:t>
      </w:r>
      <w:r w:rsidR="00D76E5F" w:rsidRPr="00280BBB">
        <w:rPr>
          <w:sz w:val="20"/>
          <w:szCs w:val="20"/>
        </w:rPr>
        <w:t xml:space="preserve">Україна, </w:t>
      </w:r>
      <w:smartTag w:uri="urn:schemas-microsoft-com:office:smarttags" w:element="metricconverter">
        <w:smartTagPr>
          <w:attr w:name="ProductID" w:val="33013, м"/>
        </w:smartTagPr>
        <w:r w:rsidR="00D76E5F" w:rsidRPr="00280BBB">
          <w:rPr>
            <w:sz w:val="20"/>
            <w:szCs w:val="20"/>
          </w:rPr>
          <w:t>33013, м</w:t>
        </w:r>
      </w:smartTag>
      <w:r w:rsidR="00D76E5F" w:rsidRPr="00280BBB">
        <w:rPr>
          <w:sz w:val="20"/>
          <w:szCs w:val="20"/>
        </w:rPr>
        <w:t xml:space="preserve">. Рівне, вул. Князя Володимира, буд. 71, 5-й поверх, актова зала, </w:t>
      </w:r>
      <w:proofErr w:type="spellStart"/>
      <w:r w:rsidR="00D76E5F" w:rsidRPr="00280BBB">
        <w:rPr>
          <w:sz w:val="20"/>
          <w:szCs w:val="20"/>
        </w:rPr>
        <w:t>каб</w:t>
      </w:r>
      <w:proofErr w:type="spellEnd"/>
      <w:r w:rsidR="00D76E5F" w:rsidRPr="00280BBB">
        <w:rPr>
          <w:sz w:val="20"/>
          <w:szCs w:val="20"/>
        </w:rPr>
        <w:t>. №507.</w:t>
      </w:r>
      <w:r w:rsidRPr="00EB49A0">
        <w:rPr>
          <w:sz w:val="20"/>
          <w:szCs w:val="20"/>
        </w:rPr>
        <w:t xml:space="preserve"> </w:t>
      </w:r>
    </w:p>
    <w:p w:rsidR="004B5259" w:rsidRPr="00EB49A0" w:rsidRDefault="004B5259" w:rsidP="004B5259">
      <w:pPr>
        <w:pStyle w:val="1"/>
        <w:jc w:val="both"/>
        <w:rPr>
          <w:sz w:val="20"/>
          <w:szCs w:val="20"/>
        </w:rPr>
      </w:pPr>
      <w:r w:rsidRPr="00EB49A0">
        <w:rPr>
          <w:sz w:val="20"/>
          <w:szCs w:val="20"/>
        </w:rPr>
        <w:t xml:space="preserve">Реєстрація акціонерів проводиться з </w:t>
      </w:r>
      <w:r w:rsidR="00B63B8C">
        <w:rPr>
          <w:b/>
          <w:sz w:val="20"/>
          <w:szCs w:val="20"/>
        </w:rPr>
        <w:t>09</w:t>
      </w:r>
      <w:r w:rsidRPr="00EB49A0">
        <w:rPr>
          <w:b/>
          <w:sz w:val="20"/>
          <w:szCs w:val="20"/>
          <w:vertAlign w:val="superscript"/>
        </w:rPr>
        <w:t>00</w:t>
      </w:r>
      <w:r w:rsidRPr="00EB49A0">
        <w:rPr>
          <w:b/>
          <w:sz w:val="20"/>
          <w:szCs w:val="20"/>
        </w:rPr>
        <w:t xml:space="preserve"> годин  до </w:t>
      </w:r>
      <w:r w:rsidR="00B63B8C">
        <w:rPr>
          <w:b/>
          <w:sz w:val="20"/>
          <w:szCs w:val="20"/>
        </w:rPr>
        <w:t>09</w:t>
      </w:r>
      <w:r w:rsidRPr="00EB49A0">
        <w:rPr>
          <w:b/>
          <w:sz w:val="20"/>
          <w:szCs w:val="20"/>
          <w:vertAlign w:val="superscript"/>
        </w:rPr>
        <w:t>45</w:t>
      </w:r>
      <w:r w:rsidRPr="00EB49A0">
        <w:rPr>
          <w:b/>
          <w:sz w:val="20"/>
          <w:szCs w:val="20"/>
        </w:rPr>
        <w:t xml:space="preserve"> годин</w:t>
      </w:r>
      <w:r w:rsidRPr="00EB49A0">
        <w:rPr>
          <w:sz w:val="20"/>
          <w:szCs w:val="20"/>
        </w:rPr>
        <w:t>.</w:t>
      </w:r>
      <w:r w:rsidRPr="00EB49A0">
        <w:rPr>
          <w:b/>
          <w:sz w:val="20"/>
          <w:szCs w:val="20"/>
        </w:rPr>
        <w:t xml:space="preserve"> </w:t>
      </w:r>
      <w:r w:rsidRPr="00EB49A0">
        <w:rPr>
          <w:sz w:val="20"/>
          <w:szCs w:val="20"/>
        </w:rPr>
        <w:t xml:space="preserve"> </w:t>
      </w:r>
    </w:p>
    <w:p w:rsidR="004B5259" w:rsidRPr="00EB49A0" w:rsidRDefault="004B5259" w:rsidP="004B5259">
      <w:pPr>
        <w:pStyle w:val="1"/>
        <w:jc w:val="both"/>
        <w:rPr>
          <w:sz w:val="20"/>
          <w:szCs w:val="20"/>
        </w:rPr>
      </w:pPr>
      <w:r w:rsidRPr="00EB49A0">
        <w:rPr>
          <w:sz w:val="20"/>
          <w:szCs w:val="20"/>
        </w:rPr>
        <w:t xml:space="preserve">Початок Загальних зборів о </w:t>
      </w:r>
      <w:r w:rsidRPr="00EB49A0">
        <w:rPr>
          <w:b/>
          <w:sz w:val="20"/>
          <w:szCs w:val="20"/>
        </w:rPr>
        <w:t>1</w:t>
      </w:r>
      <w:r w:rsidR="00B63B8C">
        <w:rPr>
          <w:b/>
          <w:sz w:val="20"/>
          <w:szCs w:val="20"/>
        </w:rPr>
        <w:t>0</w:t>
      </w:r>
      <w:r w:rsidRPr="00EB49A0">
        <w:rPr>
          <w:b/>
          <w:sz w:val="20"/>
          <w:szCs w:val="20"/>
          <w:vertAlign w:val="superscript"/>
        </w:rPr>
        <w:t>00</w:t>
      </w:r>
      <w:r w:rsidRPr="00EB49A0">
        <w:rPr>
          <w:b/>
          <w:sz w:val="20"/>
          <w:szCs w:val="20"/>
        </w:rPr>
        <w:t xml:space="preserve"> годині.</w:t>
      </w:r>
      <w:r w:rsidRPr="00EB49A0">
        <w:rPr>
          <w:sz w:val="20"/>
          <w:szCs w:val="20"/>
        </w:rPr>
        <w:t xml:space="preserve"> </w:t>
      </w:r>
    </w:p>
    <w:p w:rsidR="004B5259" w:rsidRPr="00EB49A0" w:rsidRDefault="004B5259" w:rsidP="004B5259">
      <w:pPr>
        <w:pStyle w:val="1"/>
        <w:jc w:val="both"/>
        <w:rPr>
          <w:sz w:val="20"/>
          <w:szCs w:val="20"/>
        </w:rPr>
      </w:pPr>
      <w:r w:rsidRPr="00EB49A0">
        <w:rPr>
          <w:sz w:val="20"/>
          <w:szCs w:val="20"/>
        </w:rPr>
        <w:t>Дата складення переліку акціонерів, які  мають право н</w:t>
      </w:r>
      <w:r w:rsidR="00FC4F3E">
        <w:rPr>
          <w:sz w:val="20"/>
          <w:szCs w:val="20"/>
        </w:rPr>
        <w:t xml:space="preserve">а участь в Загальних зборах - </w:t>
      </w:r>
      <w:r w:rsidR="007A681C">
        <w:rPr>
          <w:sz w:val="20"/>
          <w:szCs w:val="20"/>
        </w:rPr>
        <w:t>22</w:t>
      </w:r>
      <w:r w:rsidRPr="00EB49A0">
        <w:rPr>
          <w:sz w:val="20"/>
          <w:szCs w:val="20"/>
        </w:rPr>
        <w:t xml:space="preserve"> </w:t>
      </w:r>
      <w:r w:rsidR="007A681C">
        <w:rPr>
          <w:sz w:val="20"/>
          <w:szCs w:val="20"/>
        </w:rPr>
        <w:t>лютого</w:t>
      </w:r>
      <w:r w:rsidRPr="00EB49A0">
        <w:rPr>
          <w:sz w:val="20"/>
          <w:szCs w:val="20"/>
        </w:rPr>
        <w:t xml:space="preserve"> 202</w:t>
      </w:r>
      <w:r w:rsidR="007A681C">
        <w:rPr>
          <w:sz w:val="20"/>
          <w:szCs w:val="20"/>
        </w:rPr>
        <w:t>1</w:t>
      </w:r>
      <w:r w:rsidRPr="00EB49A0">
        <w:rPr>
          <w:sz w:val="20"/>
          <w:szCs w:val="20"/>
        </w:rPr>
        <w:t xml:space="preserve"> року (станом на 24</w:t>
      </w:r>
      <w:r w:rsidRPr="00EB49A0">
        <w:rPr>
          <w:sz w:val="20"/>
          <w:szCs w:val="20"/>
          <w:vertAlign w:val="superscript"/>
        </w:rPr>
        <w:t>00</w:t>
      </w:r>
      <w:r w:rsidRPr="00EB49A0">
        <w:rPr>
          <w:sz w:val="20"/>
          <w:szCs w:val="20"/>
        </w:rPr>
        <w:t>)</w:t>
      </w:r>
      <w:r w:rsidRPr="00EB49A0">
        <w:rPr>
          <w:sz w:val="20"/>
          <w:szCs w:val="20"/>
          <w:vertAlign w:val="superscript"/>
        </w:rPr>
        <w:t xml:space="preserve"> </w:t>
      </w:r>
      <w:r w:rsidRPr="00EB49A0">
        <w:rPr>
          <w:sz w:val="20"/>
          <w:szCs w:val="20"/>
        </w:rPr>
        <w:t>.</w:t>
      </w:r>
    </w:p>
    <w:p w:rsidR="004B5259" w:rsidRPr="00EB49A0" w:rsidRDefault="004B5259" w:rsidP="004B5259">
      <w:pPr>
        <w:pStyle w:val="1"/>
        <w:jc w:val="both"/>
        <w:rPr>
          <w:sz w:val="20"/>
          <w:szCs w:val="20"/>
        </w:rPr>
      </w:pPr>
      <w:r w:rsidRPr="00EB49A0">
        <w:rPr>
          <w:sz w:val="20"/>
          <w:szCs w:val="20"/>
        </w:rPr>
        <w:t>Загальна кількість акцій Товариства (станом на дату складення переліку осіб, яким надсилається повідомлення про проведення</w:t>
      </w:r>
      <w:r w:rsidR="00FC4F3E">
        <w:rPr>
          <w:sz w:val="20"/>
          <w:szCs w:val="20"/>
        </w:rPr>
        <w:t xml:space="preserve"> Загальних зборів, а саме, на </w:t>
      </w:r>
      <w:r w:rsidR="007A681C">
        <w:rPr>
          <w:sz w:val="20"/>
          <w:szCs w:val="20"/>
        </w:rPr>
        <w:t>29</w:t>
      </w:r>
      <w:r w:rsidRPr="00EB49A0">
        <w:rPr>
          <w:sz w:val="20"/>
          <w:szCs w:val="20"/>
        </w:rPr>
        <w:t xml:space="preserve">.12.2020р.) – </w:t>
      </w:r>
      <w:r w:rsidR="000D4783" w:rsidRPr="00280BBB">
        <w:rPr>
          <w:sz w:val="20"/>
          <w:szCs w:val="20"/>
        </w:rPr>
        <w:t>85 134 168 (вісімдесят п’ять мільйонів сто тридцять чотири тисячі сто шістдесят вісім)  штук простих іменних акцій.</w:t>
      </w:r>
    </w:p>
    <w:p w:rsidR="005736F8" w:rsidRPr="00280BBB" w:rsidRDefault="004B5259" w:rsidP="005736F8">
      <w:pPr>
        <w:pStyle w:val="1"/>
        <w:jc w:val="both"/>
        <w:rPr>
          <w:sz w:val="20"/>
          <w:szCs w:val="20"/>
        </w:rPr>
      </w:pPr>
      <w:r w:rsidRPr="00EB49A0">
        <w:rPr>
          <w:sz w:val="20"/>
          <w:szCs w:val="20"/>
        </w:rPr>
        <w:t>Загальна кількість голосуючих акцій Товариства (станом на дату складення переліку осіб, яким надсилається повідомлення про проведення</w:t>
      </w:r>
      <w:r w:rsidR="004C76ED">
        <w:rPr>
          <w:sz w:val="20"/>
          <w:szCs w:val="20"/>
        </w:rPr>
        <w:t xml:space="preserve"> Загальних зборів, а саме, на </w:t>
      </w:r>
      <w:r w:rsidR="007A681C">
        <w:rPr>
          <w:sz w:val="20"/>
          <w:szCs w:val="20"/>
        </w:rPr>
        <w:t>29</w:t>
      </w:r>
      <w:r w:rsidRPr="00EB49A0">
        <w:rPr>
          <w:sz w:val="20"/>
          <w:szCs w:val="20"/>
        </w:rPr>
        <w:t>.12.2020р.)</w:t>
      </w:r>
      <w:r w:rsidRPr="00EB49A0">
        <w:rPr>
          <w:color w:val="0000FF"/>
          <w:sz w:val="20"/>
          <w:szCs w:val="20"/>
        </w:rPr>
        <w:t xml:space="preserve"> </w:t>
      </w:r>
      <w:r w:rsidRPr="00931EA0">
        <w:rPr>
          <w:color w:val="0000FF"/>
          <w:sz w:val="20"/>
          <w:szCs w:val="20"/>
        </w:rPr>
        <w:t xml:space="preserve">– </w:t>
      </w:r>
      <w:r w:rsidR="0066489E" w:rsidRPr="00931EA0">
        <w:rPr>
          <w:rStyle w:val="xfm63048876"/>
          <w:sz w:val="20"/>
          <w:szCs w:val="20"/>
        </w:rPr>
        <w:t>84 323</w:t>
      </w:r>
      <w:r w:rsidR="005736F8" w:rsidRPr="00931EA0">
        <w:rPr>
          <w:rStyle w:val="xfm63048876"/>
          <w:sz w:val="20"/>
          <w:szCs w:val="20"/>
        </w:rPr>
        <w:t xml:space="preserve"> </w:t>
      </w:r>
      <w:r w:rsidR="0066489E" w:rsidRPr="00931EA0">
        <w:rPr>
          <w:rStyle w:val="xfm63048876"/>
          <w:sz w:val="20"/>
          <w:szCs w:val="20"/>
        </w:rPr>
        <w:t>003</w:t>
      </w:r>
      <w:r w:rsidR="005736F8" w:rsidRPr="00280BBB">
        <w:rPr>
          <w:sz w:val="20"/>
          <w:szCs w:val="20"/>
        </w:rPr>
        <w:t xml:space="preserve"> (вісімдесят чот</w:t>
      </w:r>
      <w:r w:rsidR="00583156">
        <w:rPr>
          <w:sz w:val="20"/>
          <w:szCs w:val="20"/>
        </w:rPr>
        <w:t>ири мільйони триста двадцять три</w:t>
      </w:r>
      <w:r w:rsidR="005736F8" w:rsidRPr="00280BBB">
        <w:rPr>
          <w:sz w:val="20"/>
          <w:szCs w:val="20"/>
        </w:rPr>
        <w:t xml:space="preserve"> тисячі </w:t>
      </w:r>
      <w:r w:rsidR="00583156">
        <w:rPr>
          <w:sz w:val="20"/>
          <w:szCs w:val="20"/>
        </w:rPr>
        <w:t>три</w:t>
      </w:r>
      <w:r w:rsidR="005736F8" w:rsidRPr="00280BBB">
        <w:rPr>
          <w:sz w:val="20"/>
          <w:szCs w:val="20"/>
        </w:rPr>
        <w:t>)  штук простих іменних акцій.</w:t>
      </w:r>
    </w:p>
    <w:p w:rsidR="004B5259" w:rsidRPr="00EB49A0" w:rsidRDefault="004B5259" w:rsidP="004B5259">
      <w:pPr>
        <w:pStyle w:val="1"/>
        <w:jc w:val="both"/>
        <w:rPr>
          <w:b/>
          <w:sz w:val="20"/>
          <w:szCs w:val="20"/>
        </w:rPr>
      </w:pPr>
    </w:p>
    <w:p w:rsidR="004B5259" w:rsidRPr="00EB49A0" w:rsidRDefault="00D43A4A" w:rsidP="004B5259">
      <w:pPr>
        <w:pStyle w:val="1"/>
        <w:jc w:val="center"/>
        <w:rPr>
          <w:b/>
          <w:sz w:val="20"/>
          <w:szCs w:val="20"/>
        </w:rPr>
      </w:pPr>
      <w:r>
        <w:rPr>
          <w:b/>
          <w:sz w:val="20"/>
          <w:szCs w:val="20"/>
        </w:rPr>
        <w:t xml:space="preserve">ПРОЕКТ </w:t>
      </w:r>
      <w:r w:rsidR="004B5259" w:rsidRPr="00EB49A0">
        <w:rPr>
          <w:b/>
          <w:sz w:val="20"/>
          <w:szCs w:val="20"/>
        </w:rPr>
        <w:t>ПОРЯДК</w:t>
      </w:r>
      <w:r>
        <w:rPr>
          <w:b/>
          <w:sz w:val="20"/>
          <w:szCs w:val="20"/>
        </w:rPr>
        <w:t>У</w:t>
      </w:r>
      <w:r w:rsidR="004B5259" w:rsidRPr="00EB49A0">
        <w:rPr>
          <w:b/>
          <w:sz w:val="20"/>
          <w:szCs w:val="20"/>
        </w:rPr>
        <w:t xml:space="preserve"> ДЕНН</w:t>
      </w:r>
      <w:r>
        <w:rPr>
          <w:b/>
          <w:sz w:val="20"/>
          <w:szCs w:val="20"/>
        </w:rPr>
        <w:t>ОГО</w:t>
      </w:r>
      <w:r w:rsidR="004B5259" w:rsidRPr="00EB49A0">
        <w:rPr>
          <w:b/>
          <w:sz w:val="20"/>
          <w:szCs w:val="20"/>
        </w:rPr>
        <w:t>:</w:t>
      </w:r>
    </w:p>
    <w:tbl>
      <w:tblPr>
        <w:tblW w:w="0" w:type="auto"/>
        <w:tblLook w:val="04A0"/>
      </w:tblPr>
      <w:tblGrid>
        <w:gridCol w:w="9828"/>
      </w:tblGrid>
      <w:tr w:rsidR="004B5259" w:rsidRPr="00EB49A0" w:rsidTr="001937A8">
        <w:tc>
          <w:tcPr>
            <w:tcW w:w="9828" w:type="dxa"/>
          </w:tcPr>
          <w:p w:rsidR="004B5259" w:rsidRPr="00EB49A0" w:rsidRDefault="004B5259" w:rsidP="001937A8">
            <w:pPr>
              <w:pStyle w:val="ae"/>
              <w:ind w:left="0"/>
              <w:jc w:val="both"/>
              <w:rPr>
                <w:b/>
                <w:sz w:val="20"/>
                <w:szCs w:val="20"/>
              </w:rPr>
            </w:pPr>
            <w:r w:rsidRPr="00EB49A0">
              <w:rPr>
                <w:b/>
                <w:sz w:val="20"/>
                <w:szCs w:val="20"/>
              </w:rPr>
              <w:t>1.Про обрання Лічильної комісії позачергових Загальних зборів акціонерів Товариства.</w:t>
            </w:r>
          </w:p>
        </w:tc>
      </w:tr>
      <w:tr w:rsidR="004B5259" w:rsidRPr="00EB49A0" w:rsidTr="001937A8">
        <w:tc>
          <w:tcPr>
            <w:tcW w:w="9828" w:type="dxa"/>
          </w:tcPr>
          <w:p w:rsidR="004B5259" w:rsidRPr="00EB49A0" w:rsidRDefault="004B5259" w:rsidP="001937A8">
            <w:pPr>
              <w:pStyle w:val="Style"/>
              <w:shd w:val="clear" w:color="auto" w:fill="FFFFFF"/>
              <w:spacing w:line="288" w:lineRule="auto"/>
              <w:ind w:firstLine="284"/>
              <w:jc w:val="both"/>
              <w:outlineLvl w:val="0"/>
              <w:rPr>
                <w:i/>
                <w:sz w:val="20"/>
                <w:szCs w:val="20"/>
                <w:u w:val="single"/>
                <w:lang w:val="uk-UA" w:eastAsia="en-US"/>
              </w:rPr>
            </w:pPr>
            <w:r w:rsidRPr="00EB49A0">
              <w:rPr>
                <w:i/>
                <w:sz w:val="20"/>
                <w:szCs w:val="20"/>
                <w:u w:val="single"/>
                <w:lang w:val="uk-UA" w:eastAsia="en-US"/>
              </w:rPr>
              <w:t>Проект рішення:</w:t>
            </w:r>
          </w:p>
          <w:p w:rsidR="004B5259" w:rsidRPr="00EB49A0" w:rsidRDefault="004B5259" w:rsidP="001937A8">
            <w:pPr>
              <w:rPr>
                <w:color w:val="000000"/>
                <w:sz w:val="20"/>
                <w:szCs w:val="20"/>
                <w:lang w:eastAsia="uk-UA"/>
              </w:rPr>
            </w:pPr>
            <w:r w:rsidRPr="00EB49A0">
              <w:rPr>
                <w:color w:val="000000"/>
                <w:sz w:val="20"/>
                <w:szCs w:val="20"/>
              </w:rPr>
              <w:t>Для підрахунку голосів та забезпечення проведення голосування на позачергових</w:t>
            </w:r>
            <w:r w:rsidRPr="00EB49A0">
              <w:rPr>
                <w:sz w:val="20"/>
                <w:szCs w:val="20"/>
              </w:rPr>
              <w:t xml:space="preserve"> </w:t>
            </w:r>
            <w:r w:rsidRPr="00EB49A0">
              <w:rPr>
                <w:color w:val="000000"/>
                <w:sz w:val="20"/>
                <w:szCs w:val="20"/>
              </w:rPr>
              <w:t>Загальних зборах акціонерів Товариства обрати Лічильну комісію у складі:</w:t>
            </w:r>
          </w:p>
          <w:p w:rsidR="004B5259" w:rsidRPr="00EB49A0" w:rsidRDefault="004B5259" w:rsidP="001937A8">
            <w:pPr>
              <w:rPr>
                <w:iCs/>
                <w:sz w:val="20"/>
                <w:szCs w:val="20"/>
              </w:rPr>
            </w:pPr>
            <w:r w:rsidRPr="00EB49A0">
              <w:rPr>
                <w:iCs/>
                <w:sz w:val="20"/>
                <w:szCs w:val="20"/>
              </w:rPr>
              <w:t xml:space="preserve">Голова лічильної комісії – </w:t>
            </w:r>
            <w:proofErr w:type="spellStart"/>
            <w:r w:rsidR="0097316A" w:rsidRPr="00280BBB">
              <w:rPr>
                <w:bCs/>
                <w:iCs/>
                <w:sz w:val="20"/>
                <w:szCs w:val="20"/>
              </w:rPr>
              <w:t>Кузьмарук</w:t>
            </w:r>
            <w:proofErr w:type="spellEnd"/>
            <w:r w:rsidR="0097316A" w:rsidRPr="00280BBB">
              <w:rPr>
                <w:bCs/>
                <w:iCs/>
                <w:sz w:val="20"/>
                <w:szCs w:val="20"/>
              </w:rPr>
              <w:t xml:space="preserve"> Галина Володимирівна</w:t>
            </w:r>
            <w:r w:rsidRPr="00EB49A0">
              <w:rPr>
                <w:iCs/>
                <w:sz w:val="20"/>
                <w:szCs w:val="20"/>
              </w:rPr>
              <w:t>;</w:t>
            </w:r>
          </w:p>
          <w:p w:rsidR="004B5259" w:rsidRPr="00EB49A0" w:rsidRDefault="004B5259" w:rsidP="0097316A">
            <w:pPr>
              <w:rPr>
                <w:sz w:val="20"/>
                <w:szCs w:val="20"/>
                <w:lang w:eastAsia="uk-UA"/>
              </w:rPr>
            </w:pPr>
            <w:r w:rsidRPr="00EB49A0">
              <w:rPr>
                <w:iCs/>
                <w:sz w:val="20"/>
                <w:szCs w:val="20"/>
              </w:rPr>
              <w:t xml:space="preserve">Члени лічильної комісії: </w:t>
            </w:r>
            <w:r w:rsidR="0097316A" w:rsidRPr="00280BBB">
              <w:rPr>
                <w:bCs/>
                <w:iCs/>
                <w:sz w:val="20"/>
                <w:szCs w:val="20"/>
              </w:rPr>
              <w:t xml:space="preserve">Корицька Інна Анатоліївна, Громова Ганна Романівна, </w:t>
            </w:r>
            <w:proofErr w:type="spellStart"/>
            <w:r w:rsidR="0097316A" w:rsidRPr="0097316A">
              <w:rPr>
                <w:sz w:val="20"/>
                <w:szCs w:val="20"/>
              </w:rPr>
              <w:t>Ващишина</w:t>
            </w:r>
            <w:proofErr w:type="spellEnd"/>
            <w:r w:rsidR="0097316A" w:rsidRPr="0097316A">
              <w:rPr>
                <w:sz w:val="20"/>
                <w:szCs w:val="20"/>
              </w:rPr>
              <w:t xml:space="preserve"> Оксана Вікторівна</w:t>
            </w:r>
            <w:r w:rsidRPr="0097316A">
              <w:rPr>
                <w:iCs/>
                <w:sz w:val="20"/>
                <w:szCs w:val="20"/>
              </w:rPr>
              <w:t>,</w:t>
            </w:r>
            <w:r w:rsidRPr="00EB49A0">
              <w:rPr>
                <w:iCs/>
                <w:sz w:val="20"/>
                <w:szCs w:val="20"/>
              </w:rPr>
              <w:t xml:space="preserve"> Степаненко Олена Миколаївна, Лебідь Микола Сергійович.</w:t>
            </w:r>
          </w:p>
        </w:tc>
      </w:tr>
      <w:tr w:rsidR="004B5259" w:rsidRPr="00EB49A0" w:rsidTr="001937A8">
        <w:trPr>
          <w:trHeight w:val="118"/>
        </w:trPr>
        <w:tc>
          <w:tcPr>
            <w:tcW w:w="9828" w:type="dxa"/>
          </w:tcPr>
          <w:p w:rsidR="004B5259" w:rsidRPr="00EB49A0" w:rsidRDefault="004B5259" w:rsidP="001937A8">
            <w:pPr>
              <w:pStyle w:val="ae"/>
              <w:ind w:left="0"/>
              <w:jc w:val="both"/>
              <w:rPr>
                <w:b/>
                <w:sz w:val="20"/>
                <w:szCs w:val="20"/>
              </w:rPr>
            </w:pPr>
            <w:r w:rsidRPr="00EB49A0">
              <w:rPr>
                <w:b/>
                <w:sz w:val="20"/>
                <w:szCs w:val="20"/>
              </w:rPr>
              <w:t>2. Про порядок проведення позачергових Загальних зборів акціонерів Товариства.</w:t>
            </w:r>
          </w:p>
        </w:tc>
      </w:tr>
      <w:tr w:rsidR="004B5259" w:rsidRPr="00EB49A0" w:rsidTr="001937A8">
        <w:tc>
          <w:tcPr>
            <w:tcW w:w="9828" w:type="dxa"/>
          </w:tcPr>
          <w:p w:rsidR="004B5259" w:rsidRPr="00EB49A0" w:rsidRDefault="004B5259" w:rsidP="001937A8">
            <w:pPr>
              <w:widowControl w:val="0"/>
              <w:shd w:val="clear" w:color="auto" w:fill="FFFFFF"/>
              <w:autoSpaceDE w:val="0"/>
              <w:autoSpaceDN w:val="0"/>
              <w:adjustRightInd w:val="0"/>
              <w:spacing w:line="288" w:lineRule="auto"/>
              <w:ind w:firstLine="284"/>
              <w:jc w:val="both"/>
              <w:outlineLvl w:val="0"/>
              <w:rPr>
                <w:i/>
                <w:sz w:val="20"/>
                <w:szCs w:val="20"/>
                <w:u w:val="single"/>
                <w:lang w:eastAsia="uk-UA"/>
              </w:rPr>
            </w:pPr>
            <w:r w:rsidRPr="00EB49A0">
              <w:rPr>
                <w:i/>
                <w:sz w:val="20"/>
                <w:szCs w:val="20"/>
                <w:u w:val="single"/>
              </w:rPr>
              <w:t>Проект рішення:</w:t>
            </w:r>
          </w:p>
          <w:p w:rsidR="004B5259" w:rsidRPr="00EB49A0" w:rsidRDefault="004B5259" w:rsidP="001937A8">
            <w:pPr>
              <w:jc w:val="both"/>
              <w:rPr>
                <w:sz w:val="20"/>
                <w:szCs w:val="20"/>
              </w:rPr>
            </w:pPr>
            <w:r w:rsidRPr="00EB49A0">
              <w:rPr>
                <w:sz w:val="20"/>
                <w:szCs w:val="20"/>
              </w:rPr>
              <w:t>Затвердити порядок проведення (регламент) позачергових Загальних зборів акціонерів в такому порядку:</w:t>
            </w:r>
          </w:p>
          <w:p w:rsidR="004B5259" w:rsidRPr="00EB49A0" w:rsidRDefault="004B5259" w:rsidP="004B5259">
            <w:pPr>
              <w:numPr>
                <w:ilvl w:val="0"/>
                <w:numId w:val="10"/>
              </w:numPr>
              <w:jc w:val="both"/>
              <w:rPr>
                <w:sz w:val="20"/>
                <w:szCs w:val="20"/>
              </w:rPr>
            </w:pPr>
            <w:r w:rsidRPr="00EB49A0">
              <w:rPr>
                <w:sz w:val="20"/>
                <w:szCs w:val="20"/>
              </w:rPr>
              <w:t>Доповіді та питання порядку денного – до 10 хв.</w:t>
            </w:r>
          </w:p>
          <w:p w:rsidR="004B5259" w:rsidRPr="00EB49A0" w:rsidRDefault="004B5259" w:rsidP="004B5259">
            <w:pPr>
              <w:numPr>
                <w:ilvl w:val="0"/>
                <w:numId w:val="10"/>
              </w:numPr>
              <w:jc w:val="both"/>
              <w:rPr>
                <w:sz w:val="20"/>
                <w:szCs w:val="20"/>
              </w:rPr>
            </w:pPr>
            <w:r w:rsidRPr="00EB49A0">
              <w:rPr>
                <w:sz w:val="20"/>
                <w:szCs w:val="20"/>
              </w:rPr>
              <w:t>Виступи та обговорення – до 5 хв.</w:t>
            </w:r>
          </w:p>
          <w:p w:rsidR="004B5259" w:rsidRPr="00EB49A0" w:rsidRDefault="004B5259" w:rsidP="004B5259">
            <w:pPr>
              <w:numPr>
                <w:ilvl w:val="0"/>
                <w:numId w:val="10"/>
              </w:numPr>
              <w:jc w:val="both"/>
              <w:rPr>
                <w:sz w:val="20"/>
                <w:szCs w:val="20"/>
              </w:rPr>
            </w:pPr>
            <w:r w:rsidRPr="00EB49A0">
              <w:rPr>
                <w:sz w:val="20"/>
                <w:szCs w:val="20"/>
              </w:rPr>
              <w:t>Відповіді на загальні питання – після обговорення питань порядку денного (до 3 хв. на одне питання).</w:t>
            </w:r>
          </w:p>
          <w:p w:rsidR="004B5259" w:rsidRPr="00EB49A0" w:rsidRDefault="004B5259" w:rsidP="001937A8">
            <w:pPr>
              <w:pStyle w:val="Default"/>
              <w:rPr>
                <w:sz w:val="20"/>
                <w:szCs w:val="20"/>
                <w:lang w:val="uk-UA"/>
              </w:rPr>
            </w:pPr>
            <w:r w:rsidRPr="00EB49A0">
              <w:rPr>
                <w:bCs/>
                <w:sz w:val="20"/>
                <w:szCs w:val="20"/>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4B5259" w:rsidRPr="00EB49A0" w:rsidRDefault="004B5259" w:rsidP="001937A8">
            <w:pPr>
              <w:jc w:val="both"/>
              <w:rPr>
                <w:bCs/>
                <w:sz w:val="20"/>
                <w:szCs w:val="20"/>
                <w:lang w:eastAsia="uk-UA"/>
              </w:rPr>
            </w:pPr>
            <w:r w:rsidRPr="00EB49A0">
              <w:rPr>
                <w:sz w:val="20"/>
                <w:szCs w:val="20"/>
              </w:rPr>
              <w:t>Голосування з усіх питань порядку денного проводиться з використанням бюлетенів для голосування, форму і текст яких затверджено Наглядовою радою Товариства.</w:t>
            </w:r>
          </w:p>
        </w:tc>
      </w:tr>
      <w:tr w:rsidR="004B5259" w:rsidRPr="00EB49A0" w:rsidTr="001937A8">
        <w:tc>
          <w:tcPr>
            <w:tcW w:w="9828" w:type="dxa"/>
          </w:tcPr>
          <w:p w:rsidR="004B5259" w:rsidRPr="00EB49A0" w:rsidRDefault="004B5259" w:rsidP="001937A8">
            <w:pPr>
              <w:jc w:val="both"/>
              <w:rPr>
                <w:b/>
                <w:sz w:val="20"/>
                <w:szCs w:val="20"/>
              </w:rPr>
            </w:pPr>
            <w:r w:rsidRPr="00EB49A0">
              <w:rPr>
                <w:b/>
                <w:sz w:val="20"/>
                <w:szCs w:val="20"/>
              </w:rPr>
              <w:t>3. Про збільшення статутного капіталу Товариства шляхом розміщення додаткових акцій існуючої номінальної вартості за рахунок додаткових внесків (без здійснення публічної пропозиції).</w:t>
            </w:r>
          </w:p>
        </w:tc>
      </w:tr>
      <w:tr w:rsidR="004B5259" w:rsidRPr="00EB49A0" w:rsidTr="001937A8">
        <w:tc>
          <w:tcPr>
            <w:tcW w:w="9828" w:type="dxa"/>
          </w:tcPr>
          <w:p w:rsidR="004B5259" w:rsidRDefault="004B5259" w:rsidP="001937A8">
            <w:pPr>
              <w:widowControl w:val="0"/>
              <w:shd w:val="clear" w:color="auto" w:fill="FFFFFF"/>
              <w:autoSpaceDE w:val="0"/>
              <w:autoSpaceDN w:val="0"/>
              <w:adjustRightInd w:val="0"/>
              <w:spacing w:line="288" w:lineRule="auto"/>
              <w:ind w:firstLine="284"/>
              <w:jc w:val="both"/>
              <w:outlineLvl w:val="0"/>
              <w:rPr>
                <w:i/>
                <w:sz w:val="20"/>
                <w:szCs w:val="20"/>
                <w:u w:val="single"/>
              </w:rPr>
            </w:pPr>
            <w:r w:rsidRPr="00EB49A0">
              <w:rPr>
                <w:i/>
                <w:sz w:val="20"/>
                <w:szCs w:val="20"/>
                <w:u w:val="single"/>
              </w:rPr>
              <w:t>Проект рішення:</w:t>
            </w:r>
          </w:p>
          <w:p w:rsidR="004B5259" w:rsidRPr="002E5C9B" w:rsidRDefault="002E5C9B" w:rsidP="002E5C9B">
            <w:pPr>
              <w:widowControl w:val="0"/>
              <w:shd w:val="clear" w:color="auto" w:fill="FFFFFF"/>
              <w:autoSpaceDE w:val="0"/>
              <w:autoSpaceDN w:val="0"/>
              <w:adjustRightInd w:val="0"/>
              <w:jc w:val="both"/>
              <w:outlineLvl w:val="0"/>
              <w:rPr>
                <w:i/>
                <w:sz w:val="20"/>
                <w:szCs w:val="20"/>
                <w:u w:val="single"/>
              </w:rPr>
            </w:pPr>
            <w:r w:rsidRPr="00280BBB">
              <w:rPr>
                <w:sz w:val="20"/>
                <w:szCs w:val="20"/>
              </w:rPr>
              <w:t>Збільшити   розмір   статутного   капіталу   Товариства на 45 000 000,00 грн. (Сорок п’ять мільйонів гривень 00 копійок) за рахунок   додаткових   внесків, а саме, з 21 283 542, 00 грн.  (Двадцять одного мільйона двохсот вісімдесят трьох тисяч п’ятсот сорока двох гривень 00 копійок)  до 66 283 542,00 грн.  (Шістдесяти шести мільйонів двохсот вісімдесят трьох тисяч п’ятсот сорок двох гривень 00 копійок), шляхом розміщення простих іменних акцій Товариства (без здійснення публічної пропозиції) у кількості 180 000 000 (сто вісімдесят мільйонів) штук, номінальною вартістю 0,25 грн. (Двадцять п’ять копійок)  кожна.</w:t>
            </w:r>
          </w:p>
        </w:tc>
      </w:tr>
      <w:tr w:rsidR="004B5259" w:rsidRPr="00EB49A0" w:rsidTr="001937A8">
        <w:tc>
          <w:tcPr>
            <w:tcW w:w="9828" w:type="dxa"/>
          </w:tcPr>
          <w:p w:rsidR="004B5259" w:rsidRPr="00EB49A0" w:rsidRDefault="004B5259" w:rsidP="001937A8">
            <w:pPr>
              <w:jc w:val="both"/>
              <w:rPr>
                <w:b/>
                <w:sz w:val="20"/>
                <w:szCs w:val="20"/>
                <w:lang w:eastAsia="uk-UA"/>
              </w:rPr>
            </w:pPr>
            <w:r w:rsidRPr="00EB49A0">
              <w:rPr>
                <w:b/>
                <w:sz w:val="20"/>
                <w:szCs w:val="20"/>
              </w:rPr>
              <w:t>4. Про невикористання переважного права акціонерів на придбання акцій додаткової емісії  у процесі їх розміщення.</w:t>
            </w:r>
          </w:p>
        </w:tc>
      </w:tr>
      <w:tr w:rsidR="004B5259" w:rsidRPr="00EB49A0" w:rsidTr="001937A8">
        <w:tc>
          <w:tcPr>
            <w:tcW w:w="9828" w:type="dxa"/>
          </w:tcPr>
          <w:p w:rsidR="004B5259" w:rsidRPr="00EB49A0" w:rsidRDefault="004B5259" w:rsidP="001937A8">
            <w:pPr>
              <w:pStyle w:val="Style"/>
              <w:shd w:val="clear" w:color="auto" w:fill="FFFFFF"/>
              <w:spacing w:line="288" w:lineRule="auto"/>
              <w:ind w:firstLine="284"/>
              <w:jc w:val="both"/>
              <w:outlineLvl w:val="0"/>
              <w:rPr>
                <w:i/>
                <w:sz w:val="20"/>
                <w:szCs w:val="20"/>
                <w:u w:val="single"/>
                <w:lang w:val="uk-UA" w:eastAsia="en-US"/>
              </w:rPr>
            </w:pPr>
            <w:r w:rsidRPr="00EB49A0">
              <w:rPr>
                <w:i/>
                <w:sz w:val="20"/>
                <w:szCs w:val="20"/>
                <w:u w:val="single"/>
                <w:lang w:val="uk-UA" w:eastAsia="en-US"/>
              </w:rPr>
              <w:t>Проект рішення:</w:t>
            </w:r>
          </w:p>
          <w:p w:rsidR="004B5259" w:rsidRPr="00EB49A0" w:rsidRDefault="004B5259" w:rsidP="001937A8">
            <w:pPr>
              <w:jc w:val="both"/>
              <w:rPr>
                <w:sz w:val="20"/>
                <w:szCs w:val="20"/>
              </w:rPr>
            </w:pPr>
            <w:r w:rsidRPr="00EB49A0">
              <w:rPr>
                <w:sz w:val="20"/>
                <w:szCs w:val="20"/>
              </w:rPr>
              <w:t>Прийняти рішення про невикористання переважного права акціонерів на придбання акцій додаткової емісії  у процесі їх розміщення, за результатами розгляду звіту Наглядової Ради Товариства щодо причин невикористання акціонерами переважного права на придбання акцій додаткової емісії у процесі їх розміщення.</w:t>
            </w:r>
          </w:p>
          <w:p w:rsidR="004B5259" w:rsidRPr="00EB49A0" w:rsidRDefault="004B5259" w:rsidP="001937A8">
            <w:pPr>
              <w:jc w:val="both"/>
              <w:rPr>
                <w:b/>
                <w:sz w:val="20"/>
                <w:szCs w:val="20"/>
                <w:lang w:eastAsia="uk-UA"/>
              </w:rPr>
            </w:pPr>
            <w:r w:rsidRPr="00EB49A0">
              <w:rPr>
                <w:sz w:val="20"/>
                <w:szCs w:val="20"/>
              </w:rPr>
              <w:t>У зв’язку з прийняттям рішення про невикористання переважного права на придбання акцій додаткової емісії у процесі їх розміщення, розміщення акцій додаткової емісії провести в один етап, тривалість якого не може бути менше ніж 15 робочих днів.</w:t>
            </w:r>
          </w:p>
        </w:tc>
      </w:tr>
      <w:tr w:rsidR="004B5259" w:rsidRPr="00EB49A0" w:rsidTr="001937A8">
        <w:tc>
          <w:tcPr>
            <w:tcW w:w="9828" w:type="dxa"/>
          </w:tcPr>
          <w:p w:rsidR="004B5259" w:rsidRPr="00EB49A0" w:rsidRDefault="004B5259" w:rsidP="001937A8">
            <w:pPr>
              <w:jc w:val="both"/>
              <w:rPr>
                <w:b/>
                <w:sz w:val="20"/>
                <w:szCs w:val="20"/>
              </w:rPr>
            </w:pPr>
            <w:r w:rsidRPr="00EB49A0">
              <w:rPr>
                <w:b/>
                <w:sz w:val="20"/>
                <w:szCs w:val="20"/>
              </w:rPr>
              <w:t>5. Про емісію акцій Товариства (із зазначенням учасників  розміщення).</w:t>
            </w:r>
          </w:p>
        </w:tc>
      </w:tr>
      <w:tr w:rsidR="004B5259" w:rsidRPr="00EB49A0" w:rsidTr="001937A8">
        <w:tc>
          <w:tcPr>
            <w:tcW w:w="9828" w:type="dxa"/>
          </w:tcPr>
          <w:p w:rsidR="004B5259" w:rsidRPr="00EB49A0" w:rsidRDefault="004B5259" w:rsidP="001937A8">
            <w:pPr>
              <w:widowControl w:val="0"/>
              <w:shd w:val="clear" w:color="auto" w:fill="FFFFFF"/>
              <w:autoSpaceDE w:val="0"/>
              <w:autoSpaceDN w:val="0"/>
              <w:adjustRightInd w:val="0"/>
              <w:spacing w:line="288" w:lineRule="auto"/>
              <w:ind w:firstLine="284"/>
              <w:jc w:val="both"/>
              <w:outlineLvl w:val="0"/>
              <w:rPr>
                <w:i/>
                <w:sz w:val="20"/>
                <w:szCs w:val="20"/>
                <w:u w:val="single"/>
                <w:lang w:eastAsia="uk-UA"/>
              </w:rPr>
            </w:pPr>
            <w:r w:rsidRPr="00EB49A0">
              <w:rPr>
                <w:i/>
                <w:sz w:val="20"/>
                <w:szCs w:val="20"/>
                <w:u w:val="single"/>
              </w:rPr>
              <w:t>Проект рішення:</w:t>
            </w:r>
          </w:p>
          <w:p w:rsidR="004B5259" w:rsidRPr="00EB49A0" w:rsidRDefault="004B5259" w:rsidP="001937A8">
            <w:pPr>
              <w:shd w:val="clear" w:color="auto" w:fill="FFFFFF"/>
              <w:jc w:val="both"/>
              <w:rPr>
                <w:sz w:val="20"/>
                <w:szCs w:val="20"/>
              </w:rPr>
            </w:pPr>
            <w:r w:rsidRPr="00EB49A0">
              <w:rPr>
                <w:rFonts w:eastAsia="Arial Unicode MS"/>
                <w:sz w:val="20"/>
                <w:szCs w:val="20"/>
              </w:rPr>
              <w:t xml:space="preserve">1. Прийняти рішення про емісію </w:t>
            </w:r>
            <w:r w:rsidR="00327BD6" w:rsidRPr="00280BBB">
              <w:rPr>
                <w:rFonts w:eastAsia="Arial Unicode MS"/>
                <w:sz w:val="20"/>
                <w:szCs w:val="20"/>
                <w:u w:color="000000"/>
              </w:rPr>
              <w:t>180 000 000</w:t>
            </w:r>
            <w:r w:rsidR="004D3474">
              <w:rPr>
                <w:sz w:val="20"/>
                <w:szCs w:val="20"/>
              </w:rPr>
              <w:t xml:space="preserve"> (Ста</w:t>
            </w:r>
            <w:r w:rsidR="00327BD6" w:rsidRPr="00280BBB">
              <w:rPr>
                <w:sz w:val="20"/>
                <w:szCs w:val="20"/>
              </w:rPr>
              <w:t xml:space="preserve"> вісімдесяти мільйонів) штук </w:t>
            </w:r>
            <w:r w:rsidR="00327BD6" w:rsidRPr="00280BBB">
              <w:rPr>
                <w:rFonts w:eastAsia="Arial Unicode MS"/>
                <w:sz w:val="20"/>
                <w:szCs w:val="20"/>
                <w:u w:color="000000"/>
              </w:rPr>
              <w:t xml:space="preserve">простих іменних акцій існуючої номінальної вартості </w:t>
            </w:r>
            <w:r w:rsidR="00327BD6" w:rsidRPr="00280BBB">
              <w:rPr>
                <w:sz w:val="20"/>
                <w:szCs w:val="20"/>
              </w:rPr>
              <w:t xml:space="preserve">0,25 грн. (Двадцять п’ять копійок) </w:t>
            </w:r>
            <w:r w:rsidR="00327BD6" w:rsidRPr="00280BBB">
              <w:rPr>
                <w:rFonts w:eastAsia="Arial Unicode MS"/>
                <w:sz w:val="20"/>
                <w:szCs w:val="20"/>
                <w:u w:color="000000"/>
              </w:rPr>
              <w:t>кожна, загальною номінальною вартістю 45</w:t>
            </w:r>
            <w:r w:rsidR="00327BD6" w:rsidRPr="00280BBB">
              <w:rPr>
                <w:sz w:val="20"/>
                <w:szCs w:val="20"/>
              </w:rPr>
              <w:t> 000 000,00 грн. (Сорок п’ять  мільйонів гривень 00 копійок).</w:t>
            </w:r>
          </w:p>
          <w:p w:rsidR="004B5259" w:rsidRPr="00EB49A0" w:rsidRDefault="004B5259" w:rsidP="001937A8">
            <w:pPr>
              <w:shd w:val="clear" w:color="auto" w:fill="FFFFFF"/>
              <w:jc w:val="both"/>
              <w:rPr>
                <w:rFonts w:eastAsia="Arial Unicode MS"/>
                <w:sz w:val="20"/>
                <w:szCs w:val="20"/>
              </w:rPr>
            </w:pPr>
            <w:r w:rsidRPr="00EB49A0">
              <w:rPr>
                <w:sz w:val="20"/>
                <w:szCs w:val="20"/>
              </w:rPr>
              <w:lastRenderedPageBreak/>
              <w:t xml:space="preserve">2. </w:t>
            </w:r>
            <w:r w:rsidRPr="00EB49A0">
              <w:rPr>
                <w:rFonts w:eastAsia="Arial Unicode MS"/>
                <w:sz w:val="20"/>
                <w:szCs w:val="20"/>
              </w:rPr>
              <w:t xml:space="preserve">Визначити, що учасником розміщення акцій в процесі емісії акцій Товариства (без здійснення публічної пропозиції) є: </w:t>
            </w:r>
            <w:r w:rsidRPr="00EB49A0">
              <w:rPr>
                <w:rStyle w:val="xfm42357889"/>
                <w:bCs/>
                <w:sz w:val="20"/>
                <w:szCs w:val="20"/>
              </w:rPr>
              <w:t>ТОВАРИСТВО З ОБМЕЖЕНОЮ ВІДПОВІДАЛЬНІСТЮ «ВС ГРУП МЕНЕДЖМЕНТ», код ЄДРПОУ 33947089</w:t>
            </w:r>
            <w:r w:rsidRPr="00EB49A0">
              <w:rPr>
                <w:sz w:val="20"/>
                <w:szCs w:val="20"/>
                <w:shd w:val="clear" w:color="auto" w:fill="FFFFFF"/>
              </w:rPr>
              <w:t>.</w:t>
            </w:r>
          </w:p>
          <w:p w:rsidR="004B5259" w:rsidRPr="00EB49A0" w:rsidRDefault="004B5259" w:rsidP="001937A8">
            <w:pPr>
              <w:jc w:val="both"/>
              <w:rPr>
                <w:rFonts w:eastAsia="Arial Unicode MS"/>
                <w:sz w:val="20"/>
                <w:szCs w:val="20"/>
                <w:lang w:eastAsia="uk-UA"/>
              </w:rPr>
            </w:pPr>
            <w:r w:rsidRPr="00EB49A0">
              <w:rPr>
                <w:rFonts w:eastAsia="Arial Unicode MS"/>
                <w:sz w:val="20"/>
                <w:szCs w:val="20"/>
              </w:rPr>
              <w:t>3. Затвердити рішення про емісію акцій Товариства (додається до протоколу).</w:t>
            </w:r>
          </w:p>
        </w:tc>
      </w:tr>
      <w:tr w:rsidR="004B5259" w:rsidRPr="00EB49A0" w:rsidTr="001937A8">
        <w:tc>
          <w:tcPr>
            <w:tcW w:w="9828" w:type="dxa"/>
          </w:tcPr>
          <w:p w:rsidR="004B5259" w:rsidRPr="00EB49A0" w:rsidRDefault="004B5259" w:rsidP="001937A8">
            <w:pPr>
              <w:jc w:val="both"/>
              <w:rPr>
                <w:b/>
                <w:sz w:val="20"/>
                <w:szCs w:val="20"/>
                <w:lang w:eastAsia="uk-UA"/>
              </w:rPr>
            </w:pPr>
            <w:r w:rsidRPr="00EB49A0">
              <w:rPr>
                <w:b/>
                <w:sz w:val="20"/>
                <w:szCs w:val="20"/>
              </w:rPr>
              <w:lastRenderedPageBreak/>
              <w:t>6.  Про визначення уповноваженого органу Товариства, якому надаються повноваження щодо організації та проведення розміщення акцій Товариства.</w:t>
            </w:r>
          </w:p>
        </w:tc>
      </w:tr>
      <w:tr w:rsidR="004B5259" w:rsidRPr="00EB49A0" w:rsidTr="001937A8">
        <w:tc>
          <w:tcPr>
            <w:tcW w:w="9828" w:type="dxa"/>
          </w:tcPr>
          <w:p w:rsidR="004B5259" w:rsidRPr="00EB49A0" w:rsidRDefault="004B5259" w:rsidP="001937A8">
            <w:pPr>
              <w:widowControl w:val="0"/>
              <w:shd w:val="clear" w:color="auto" w:fill="FFFFFF"/>
              <w:autoSpaceDE w:val="0"/>
              <w:autoSpaceDN w:val="0"/>
              <w:adjustRightInd w:val="0"/>
              <w:spacing w:line="288" w:lineRule="auto"/>
              <w:ind w:firstLine="284"/>
              <w:jc w:val="both"/>
              <w:outlineLvl w:val="0"/>
              <w:rPr>
                <w:i/>
                <w:sz w:val="20"/>
                <w:szCs w:val="20"/>
                <w:u w:val="single"/>
                <w:lang w:eastAsia="uk-UA"/>
              </w:rPr>
            </w:pPr>
            <w:r w:rsidRPr="00EB49A0">
              <w:rPr>
                <w:i/>
                <w:sz w:val="20"/>
                <w:szCs w:val="20"/>
                <w:u w:val="single"/>
              </w:rPr>
              <w:t>Проект рішення:</w:t>
            </w:r>
          </w:p>
          <w:p w:rsidR="004B5259" w:rsidRPr="00EB49A0" w:rsidRDefault="004B5259" w:rsidP="001937A8">
            <w:pPr>
              <w:jc w:val="both"/>
              <w:rPr>
                <w:sz w:val="20"/>
                <w:szCs w:val="20"/>
              </w:rPr>
            </w:pPr>
            <w:r w:rsidRPr="00EB49A0">
              <w:rPr>
                <w:sz w:val="20"/>
                <w:szCs w:val="20"/>
              </w:rPr>
              <w:t xml:space="preserve">Визначити Наглядову раду Товариства уповноваженим органом Товариства, якому надаються повноваження щодо: </w:t>
            </w:r>
          </w:p>
          <w:p w:rsidR="004B5259" w:rsidRPr="00EB49A0" w:rsidRDefault="004B5259" w:rsidP="004B5259">
            <w:pPr>
              <w:numPr>
                <w:ilvl w:val="0"/>
                <w:numId w:val="11"/>
              </w:numPr>
              <w:shd w:val="clear" w:color="auto" w:fill="FFFFFF"/>
              <w:jc w:val="both"/>
              <w:rPr>
                <w:sz w:val="20"/>
                <w:szCs w:val="20"/>
              </w:rPr>
            </w:pPr>
            <w:r w:rsidRPr="00EB49A0">
              <w:rPr>
                <w:sz w:val="20"/>
                <w:szCs w:val="20"/>
              </w:rPr>
              <w:t>визначення (затвердження) ціни розміщення акцій під час розміщення акцій у процесі емісії акцій Товариства;</w:t>
            </w:r>
          </w:p>
          <w:p w:rsidR="004B5259" w:rsidRPr="00EB49A0" w:rsidRDefault="004B5259" w:rsidP="004B5259">
            <w:pPr>
              <w:numPr>
                <w:ilvl w:val="0"/>
                <w:numId w:val="11"/>
              </w:numPr>
              <w:shd w:val="clear" w:color="auto" w:fill="FFFFFF"/>
              <w:jc w:val="both"/>
              <w:rPr>
                <w:sz w:val="20"/>
                <w:szCs w:val="20"/>
              </w:rPr>
            </w:pPr>
            <w:r w:rsidRPr="00EB49A0">
              <w:rPr>
                <w:sz w:val="20"/>
                <w:szCs w:val="20"/>
              </w:rPr>
              <w:t>затвердження результатів емісії акцій;</w:t>
            </w:r>
          </w:p>
          <w:p w:rsidR="004B5259" w:rsidRPr="00EB49A0" w:rsidRDefault="004B5259" w:rsidP="004B5259">
            <w:pPr>
              <w:numPr>
                <w:ilvl w:val="0"/>
                <w:numId w:val="11"/>
              </w:numPr>
              <w:shd w:val="clear" w:color="auto" w:fill="FFFFFF"/>
              <w:jc w:val="both"/>
              <w:rPr>
                <w:sz w:val="20"/>
                <w:szCs w:val="20"/>
              </w:rPr>
            </w:pPr>
            <w:r w:rsidRPr="00EB49A0">
              <w:rPr>
                <w:sz w:val="20"/>
                <w:szCs w:val="20"/>
              </w:rPr>
              <w:t>затвердження звіту про результати емісії акцій;</w:t>
            </w:r>
          </w:p>
          <w:p w:rsidR="004B5259" w:rsidRPr="00EB49A0" w:rsidRDefault="004B5259" w:rsidP="004B5259">
            <w:pPr>
              <w:numPr>
                <w:ilvl w:val="0"/>
                <w:numId w:val="11"/>
              </w:numPr>
              <w:shd w:val="clear" w:color="auto" w:fill="FFFFFF"/>
              <w:jc w:val="both"/>
              <w:rPr>
                <w:sz w:val="20"/>
                <w:szCs w:val="20"/>
              </w:rPr>
            </w:pPr>
            <w:r w:rsidRPr="00EB49A0">
              <w:rPr>
                <w:sz w:val="20"/>
                <w:szCs w:val="20"/>
              </w:rPr>
              <w:t>прийняття рішення про відмову від емісії акцій;</w:t>
            </w:r>
          </w:p>
          <w:p w:rsidR="004B5259" w:rsidRPr="00EB49A0" w:rsidRDefault="004B5259" w:rsidP="004B5259">
            <w:pPr>
              <w:pStyle w:val="rvps2"/>
              <w:numPr>
                <w:ilvl w:val="0"/>
                <w:numId w:val="11"/>
              </w:numPr>
              <w:shd w:val="clear" w:color="auto" w:fill="FFFFFF"/>
              <w:spacing w:before="0" w:beforeAutospacing="0" w:after="0" w:afterAutospacing="0"/>
              <w:jc w:val="both"/>
              <w:rPr>
                <w:sz w:val="20"/>
                <w:szCs w:val="20"/>
                <w:lang w:val="uk-UA" w:eastAsia="uk-UA"/>
              </w:rPr>
            </w:pPr>
            <w:r w:rsidRPr="00EB49A0">
              <w:rPr>
                <w:sz w:val="20"/>
                <w:szCs w:val="20"/>
                <w:lang w:val="uk-UA"/>
              </w:rPr>
              <w:t xml:space="preserve">повернення внесків, внесених в оплату за акції, у разі визнання емісії недійсною або </w:t>
            </w:r>
            <w:proofErr w:type="spellStart"/>
            <w:r w:rsidRPr="00EB49A0">
              <w:rPr>
                <w:sz w:val="20"/>
                <w:szCs w:val="20"/>
                <w:lang w:val="uk-UA"/>
              </w:rPr>
              <w:t>незатвердження</w:t>
            </w:r>
            <w:proofErr w:type="spellEnd"/>
            <w:r w:rsidRPr="00EB49A0">
              <w:rPr>
                <w:sz w:val="20"/>
                <w:szCs w:val="20"/>
                <w:lang w:val="uk-UA"/>
              </w:rPr>
              <w:t xml:space="preserve"> в установлені законодавством строки результатів емісії акцій органом емітента, 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w:t>
            </w:r>
          </w:p>
        </w:tc>
      </w:tr>
      <w:tr w:rsidR="004B5259" w:rsidRPr="00EB49A0" w:rsidTr="001937A8">
        <w:tc>
          <w:tcPr>
            <w:tcW w:w="9828" w:type="dxa"/>
          </w:tcPr>
          <w:p w:rsidR="004B5259" w:rsidRPr="00EB49A0" w:rsidRDefault="004B5259" w:rsidP="001937A8">
            <w:pPr>
              <w:jc w:val="both"/>
              <w:rPr>
                <w:b/>
                <w:sz w:val="20"/>
                <w:szCs w:val="20"/>
              </w:rPr>
            </w:pPr>
            <w:r w:rsidRPr="00EB49A0">
              <w:rPr>
                <w:b/>
                <w:sz w:val="20"/>
                <w:szCs w:val="20"/>
              </w:rPr>
              <w:t>7. Про визначення уповноважених осіб Товариства, яким надаються повноваження  щодо організації та проведення розміщення акцій Товариства.</w:t>
            </w:r>
          </w:p>
        </w:tc>
      </w:tr>
      <w:tr w:rsidR="004B5259" w:rsidRPr="00EB49A0" w:rsidTr="001937A8">
        <w:tc>
          <w:tcPr>
            <w:tcW w:w="9828" w:type="dxa"/>
          </w:tcPr>
          <w:p w:rsidR="004B5259" w:rsidRPr="00EB49A0" w:rsidRDefault="004B5259" w:rsidP="001937A8">
            <w:pPr>
              <w:pStyle w:val="Style"/>
              <w:shd w:val="clear" w:color="auto" w:fill="FFFFFF"/>
              <w:spacing w:line="288" w:lineRule="auto"/>
              <w:ind w:firstLine="284"/>
              <w:jc w:val="both"/>
              <w:outlineLvl w:val="0"/>
              <w:rPr>
                <w:i/>
                <w:sz w:val="20"/>
                <w:szCs w:val="20"/>
                <w:u w:val="single"/>
                <w:lang w:val="uk-UA" w:eastAsia="en-US"/>
              </w:rPr>
            </w:pPr>
            <w:r w:rsidRPr="00EB49A0">
              <w:rPr>
                <w:i/>
                <w:sz w:val="20"/>
                <w:szCs w:val="20"/>
                <w:u w:val="single"/>
                <w:lang w:val="uk-UA" w:eastAsia="en-US"/>
              </w:rPr>
              <w:t>Проект рішення:</w:t>
            </w:r>
          </w:p>
          <w:p w:rsidR="004B5259" w:rsidRPr="00EB49A0" w:rsidRDefault="004B5259" w:rsidP="001937A8">
            <w:pPr>
              <w:jc w:val="both"/>
              <w:rPr>
                <w:sz w:val="20"/>
                <w:szCs w:val="20"/>
                <w:lang w:eastAsia="uk-UA"/>
              </w:rPr>
            </w:pPr>
            <w:r w:rsidRPr="00EB49A0">
              <w:rPr>
                <w:sz w:val="20"/>
                <w:szCs w:val="20"/>
              </w:rPr>
              <w:t>Визначити Голову Правління Товариства  уповноваженою особою, якій надаються повноваження:</w:t>
            </w:r>
          </w:p>
          <w:p w:rsidR="004B5259" w:rsidRPr="00EB49A0" w:rsidRDefault="004B5259" w:rsidP="004B5259">
            <w:pPr>
              <w:pStyle w:val="rvps2"/>
              <w:numPr>
                <w:ilvl w:val="0"/>
                <w:numId w:val="12"/>
              </w:numPr>
              <w:shd w:val="clear" w:color="auto" w:fill="FFFFFF"/>
              <w:spacing w:before="0" w:beforeAutospacing="0" w:after="0" w:afterAutospacing="0"/>
              <w:jc w:val="both"/>
              <w:rPr>
                <w:sz w:val="20"/>
                <w:szCs w:val="20"/>
                <w:lang w:val="uk-UA"/>
              </w:rPr>
            </w:pPr>
            <w:r w:rsidRPr="00EB49A0">
              <w:rPr>
                <w:sz w:val="20"/>
                <w:szCs w:val="20"/>
                <w:lang w:val="uk-UA"/>
              </w:rPr>
              <w:t>проводити дії щодо забезпечення розміщення акцій;</w:t>
            </w:r>
          </w:p>
          <w:p w:rsidR="004B5259" w:rsidRPr="00EB49A0" w:rsidRDefault="004B5259" w:rsidP="004B5259">
            <w:pPr>
              <w:pStyle w:val="rvps2"/>
              <w:numPr>
                <w:ilvl w:val="0"/>
                <w:numId w:val="12"/>
              </w:numPr>
              <w:shd w:val="clear" w:color="auto" w:fill="FFFFFF"/>
              <w:spacing w:before="0" w:beforeAutospacing="0" w:after="0" w:afterAutospacing="0"/>
              <w:jc w:val="both"/>
              <w:rPr>
                <w:sz w:val="20"/>
                <w:szCs w:val="20"/>
                <w:lang w:val="uk-UA" w:eastAsia="uk-UA"/>
              </w:rPr>
            </w:pPr>
            <w:r w:rsidRPr="00EB49A0">
              <w:rPr>
                <w:sz w:val="20"/>
                <w:szCs w:val="20"/>
                <w:lang w:val="uk-UA"/>
              </w:rPr>
              <w:t>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tc>
      </w:tr>
      <w:tr w:rsidR="004B5259" w:rsidRPr="00EB49A0" w:rsidTr="001937A8">
        <w:tc>
          <w:tcPr>
            <w:tcW w:w="9828" w:type="dxa"/>
          </w:tcPr>
          <w:p w:rsidR="004B5259" w:rsidRPr="00EB49A0" w:rsidRDefault="004B5259" w:rsidP="001937A8">
            <w:pPr>
              <w:jc w:val="both"/>
              <w:rPr>
                <w:b/>
                <w:sz w:val="20"/>
                <w:szCs w:val="20"/>
                <w:lang w:eastAsia="uk-UA"/>
              </w:rPr>
            </w:pPr>
            <w:r w:rsidRPr="00EB49A0">
              <w:rPr>
                <w:b/>
                <w:sz w:val="20"/>
                <w:szCs w:val="20"/>
              </w:rPr>
              <w:t xml:space="preserve">8. Про затвердження умов оцінки та викупу акцій у акціонерів, які голосували «проти»:  прийняття рішення про збільшення статутного капіталу Товариства; </w:t>
            </w:r>
            <w:r w:rsidRPr="00EB49A0">
              <w:rPr>
                <w:b/>
                <w:bCs/>
                <w:sz w:val="20"/>
                <w:szCs w:val="20"/>
              </w:rPr>
              <w:t>прийняття рішення</w:t>
            </w:r>
            <w:r w:rsidRPr="00EB49A0">
              <w:rPr>
                <w:b/>
                <w:sz w:val="20"/>
                <w:szCs w:val="20"/>
              </w:rPr>
              <w:t xml:space="preserve"> про </w:t>
            </w:r>
            <w:r w:rsidRPr="00EB49A0">
              <w:rPr>
                <w:b/>
                <w:sz w:val="20"/>
                <w:szCs w:val="20"/>
                <w:shd w:val="clear" w:color="auto" w:fill="FFFFFF"/>
              </w:rPr>
              <w:t>відмову від використання переважного права акціонера на придбання акцій додаткової емісії у процесі їх розміщення.</w:t>
            </w:r>
          </w:p>
        </w:tc>
      </w:tr>
      <w:tr w:rsidR="004B5259" w:rsidRPr="00EB49A0" w:rsidTr="001937A8">
        <w:tc>
          <w:tcPr>
            <w:tcW w:w="9828" w:type="dxa"/>
          </w:tcPr>
          <w:p w:rsidR="004B5259" w:rsidRPr="00EB49A0" w:rsidRDefault="004B5259" w:rsidP="001937A8">
            <w:pPr>
              <w:widowControl w:val="0"/>
              <w:shd w:val="clear" w:color="auto" w:fill="FFFFFF"/>
              <w:autoSpaceDE w:val="0"/>
              <w:autoSpaceDN w:val="0"/>
              <w:adjustRightInd w:val="0"/>
              <w:spacing w:line="288" w:lineRule="auto"/>
              <w:ind w:firstLine="284"/>
              <w:outlineLvl w:val="0"/>
              <w:rPr>
                <w:i/>
                <w:sz w:val="20"/>
                <w:szCs w:val="20"/>
                <w:u w:val="single"/>
                <w:lang w:eastAsia="uk-UA"/>
              </w:rPr>
            </w:pPr>
            <w:r w:rsidRPr="00EB49A0">
              <w:rPr>
                <w:i/>
                <w:sz w:val="20"/>
                <w:szCs w:val="20"/>
                <w:u w:val="single"/>
              </w:rPr>
              <w:t>Проект рішення:</w:t>
            </w:r>
          </w:p>
          <w:p w:rsidR="004B5259" w:rsidRPr="00EB49A0" w:rsidRDefault="004B5259" w:rsidP="001937A8">
            <w:pPr>
              <w:tabs>
                <w:tab w:val="left" w:pos="426"/>
                <w:tab w:val="left" w:pos="851"/>
              </w:tabs>
              <w:jc w:val="both"/>
              <w:rPr>
                <w:bCs/>
                <w:sz w:val="20"/>
                <w:szCs w:val="20"/>
              </w:rPr>
            </w:pPr>
            <w:r w:rsidRPr="00EB49A0">
              <w:rPr>
                <w:bCs/>
                <w:sz w:val="20"/>
                <w:szCs w:val="20"/>
              </w:rPr>
              <w:t xml:space="preserve">1. Затвердити наступний порядок викупу акцій у акціонерів Товариства, які проголосували </w:t>
            </w:r>
            <w:r w:rsidRPr="00EB49A0">
              <w:rPr>
                <w:sz w:val="20"/>
                <w:szCs w:val="20"/>
              </w:rPr>
              <w:t xml:space="preserve">«проти»:  прийняття рішення про збільшення статутного капіталу Товариства; </w:t>
            </w:r>
            <w:r w:rsidRPr="00EB49A0">
              <w:rPr>
                <w:bCs/>
                <w:sz w:val="20"/>
                <w:szCs w:val="20"/>
              </w:rPr>
              <w:t>прийняття рішення</w:t>
            </w:r>
            <w:r w:rsidRPr="00EB49A0">
              <w:rPr>
                <w:sz w:val="20"/>
                <w:szCs w:val="20"/>
              </w:rPr>
              <w:t xml:space="preserve"> про </w:t>
            </w:r>
            <w:r w:rsidRPr="00EB49A0">
              <w:rPr>
                <w:sz w:val="20"/>
                <w:szCs w:val="20"/>
                <w:shd w:val="clear" w:color="auto" w:fill="FFFFFF"/>
              </w:rPr>
              <w:t>відмову від використання переважного права акціонера на придбання акцій додаткової</w:t>
            </w:r>
            <w:r w:rsidR="00DB2FCA">
              <w:rPr>
                <w:sz w:val="20"/>
                <w:szCs w:val="20"/>
                <w:shd w:val="clear" w:color="auto" w:fill="FFFFFF"/>
              </w:rPr>
              <w:t xml:space="preserve"> емісії у процесі їх розміщення</w:t>
            </w:r>
            <w:r w:rsidRPr="00EB49A0">
              <w:rPr>
                <w:sz w:val="20"/>
                <w:szCs w:val="20"/>
                <w:shd w:val="clear" w:color="auto" w:fill="FFFFFF"/>
              </w:rPr>
              <w:t>:</w:t>
            </w:r>
          </w:p>
          <w:p w:rsidR="004B5259" w:rsidRPr="00EB49A0" w:rsidRDefault="004B5259" w:rsidP="001937A8">
            <w:pPr>
              <w:ind w:firstLine="426"/>
              <w:jc w:val="both"/>
              <w:rPr>
                <w:sz w:val="20"/>
                <w:szCs w:val="20"/>
              </w:rPr>
            </w:pPr>
            <w:r w:rsidRPr="00EB49A0">
              <w:rPr>
                <w:sz w:val="20"/>
                <w:szCs w:val="20"/>
              </w:rPr>
              <w:t>Товариство протягом не більше 5 (п’яти) робочих днів після прийняття позачерговими Загальними зборами а</w:t>
            </w:r>
            <w:r w:rsidR="007A681C">
              <w:rPr>
                <w:sz w:val="20"/>
                <w:szCs w:val="20"/>
              </w:rPr>
              <w:t>кціонерів Товариства рішення (2</w:t>
            </w:r>
            <w:r w:rsidR="00651362">
              <w:rPr>
                <w:sz w:val="20"/>
                <w:szCs w:val="20"/>
              </w:rPr>
              <w:t>6.0</w:t>
            </w:r>
            <w:r w:rsidR="007A681C">
              <w:rPr>
                <w:sz w:val="20"/>
                <w:szCs w:val="20"/>
              </w:rPr>
              <w:t>2</w:t>
            </w:r>
            <w:r w:rsidR="00651362">
              <w:rPr>
                <w:sz w:val="20"/>
                <w:szCs w:val="20"/>
              </w:rPr>
              <w:t>.2021</w:t>
            </w:r>
            <w:r w:rsidRPr="00EB49A0">
              <w:rPr>
                <w:sz w:val="20"/>
                <w:szCs w:val="20"/>
              </w:rPr>
              <w:t>р.), що стало підставою для обов’язкового викупу акцій, повідомляє шляхом направлення рекомендованих листів з повідомленням акціонерам, які мають право вимагати обов’язкового викупу акцій, про право вимоги обов’язкового викупу акцій із зазначенням:</w:t>
            </w:r>
          </w:p>
          <w:p w:rsidR="004B5259" w:rsidRPr="00EB49A0" w:rsidRDefault="004B5259" w:rsidP="001937A8">
            <w:pPr>
              <w:ind w:firstLine="567"/>
              <w:jc w:val="both"/>
              <w:rPr>
                <w:sz w:val="20"/>
                <w:szCs w:val="20"/>
              </w:rPr>
            </w:pPr>
            <w:r w:rsidRPr="00EB49A0">
              <w:rPr>
                <w:sz w:val="20"/>
                <w:szCs w:val="20"/>
              </w:rPr>
              <w:t>- ціни викупу акцій;</w:t>
            </w:r>
          </w:p>
          <w:p w:rsidR="004B5259" w:rsidRPr="00EB49A0" w:rsidRDefault="004B5259" w:rsidP="001937A8">
            <w:pPr>
              <w:ind w:firstLine="567"/>
              <w:jc w:val="both"/>
              <w:rPr>
                <w:sz w:val="20"/>
                <w:szCs w:val="20"/>
              </w:rPr>
            </w:pPr>
            <w:r w:rsidRPr="00EB49A0">
              <w:rPr>
                <w:sz w:val="20"/>
                <w:szCs w:val="20"/>
              </w:rPr>
              <w:t>- кількості акцій, викуп яких має право вимагати акціонер;</w:t>
            </w:r>
          </w:p>
          <w:p w:rsidR="004B5259" w:rsidRPr="00EB49A0" w:rsidRDefault="004B5259" w:rsidP="001937A8">
            <w:pPr>
              <w:ind w:firstLine="567"/>
              <w:jc w:val="both"/>
              <w:rPr>
                <w:sz w:val="20"/>
                <w:szCs w:val="20"/>
              </w:rPr>
            </w:pPr>
            <w:r w:rsidRPr="00EB49A0">
              <w:rPr>
                <w:sz w:val="20"/>
                <w:szCs w:val="20"/>
              </w:rPr>
              <w:t>- загальної вартості у разі викупу акцій Товариством;</w:t>
            </w:r>
          </w:p>
          <w:p w:rsidR="004B5259" w:rsidRPr="00EB49A0" w:rsidRDefault="004B5259" w:rsidP="001937A8">
            <w:pPr>
              <w:ind w:firstLine="567"/>
              <w:jc w:val="both"/>
              <w:rPr>
                <w:sz w:val="20"/>
                <w:szCs w:val="20"/>
              </w:rPr>
            </w:pPr>
            <w:r w:rsidRPr="00EB49A0">
              <w:rPr>
                <w:sz w:val="20"/>
                <w:szCs w:val="20"/>
              </w:rPr>
              <w:t>- строку здійснення акціонерним Товариством укладення договору та оплати вартості акцій (у разі отримання вимоги акціонера про обов’язковий викуп акцій).</w:t>
            </w:r>
          </w:p>
          <w:p w:rsidR="004B5259" w:rsidRPr="00EB49A0" w:rsidRDefault="004B5259" w:rsidP="001937A8">
            <w:pPr>
              <w:ind w:firstLine="567"/>
              <w:jc w:val="both"/>
              <w:rPr>
                <w:sz w:val="20"/>
                <w:szCs w:val="20"/>
              </w:rPr>
            </w:pPr>
          </w:p>
          <w:p w:rsidR="004B5259" w:rsidRPr="00E842E4" w:rsidRDefault="004B5259" w:rsidP="001937A8">
            <w:pPr>
              <w:ind w:firstLine="567"/>
              <w:jc w:val="both"/>
              <w:rPr>
                <w:sz w:val="20"/>
                <w:szCs w:val="20"/>
              </w:rPr>
            </w:pPr>
            <w:r w:rsidRPr="00EB49A0">
              <w:rPr>
                <w:sz w:val="20"/>
                <w:szCs w:val="20"/>
              </w:rPr>
              <w:t>Протягом 30 днів після прийняття позачерговими Загальними зборами а</w:t>
            </w:r>
            <w:r w:rsidR="007A681C">
              <w:rPr>
                <w:sz w:val="20"/>
                <w:szCs w:val="20"/>
              </w:rPr>
              <w:t>кціонерів Товариства рішення (2</w:t>
            </w:r>
            <w:r w:rsidR="008E57E9">
              <w:rPr>
                <w:sz w:val="20"/>
                <w:szCs w:val="20"/>
              </w:rPr>
              <w:t>6.0</w:t>
            </w:r>
            <w:r w:rsidR="007A681C">
              <w:rPr>
                <w:sz w:val="20"/>
                <w:szCs w:val="20"/>
              </w:rPr>
              <w:t>2</w:t>
            </w:r>
            <w:r w:rsidR="008E57E9">
              <w:rPr>
                <w:sz w:val="20"/>
                <w:szCs w:val="20"/>
              </w:rPr>
              <w:t>.2021</w:t>
            </w:r>
            <w:r w:rsidRPr="00EB49A0">
              <w:rPr>
                <w:sz w:val="20"/>
                <w:szCs w:val="20"/>
              </w:rPr>
              <w:t xml:space="preserve">р.),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w:t>
            </w:r>
            <w:r w:rsidRPr="00E842E4">
              <w:rPr>
                <w:sz w:val="20"/>
                <w:szCs w:val="20"/>
              </w:rPr>
              <w:t>викупу яких він вимагає. До письмової вимоги акціонером мають бути додані копії документів, що підтверджують його право власності на акції Товариства станом на дату подання вимоги, рішення (згода) про відчуження належних акцій (за необхідності).</w:t>
            </w:r>
          </w:p>
          <w:p w:rsidR="004B5259" w:rsidRPr="00EB49A0" w:rsidRDefault="00B86021" w:rsidP="001937A8">
            <w:pPr>
              <w:ind w:firstLine="567"/>
              <w:jc w:val="both"/>
              <w:rPr>
                <w:bCs/>
                <w:sz w:val="20"/>
                <w:szCs w:val="20"/>
              </w:rPr>
            </w:pPr>
            <w:r w:rsidRPr="00E842E4">
              <w:rPr>
                <w:bCs/>
                <w:sz w:val="20"/>
                <w:szCs w:val="20"/>
              </w:rPr>
              <w:t xml:space="preserve">У строк з </w:t>
            </w:r>
            <w:r w:rsidR="007A681C" w:rsidRPr="00E842E4">
              <w:rPr>
                <w:bCs/>
                <w:sz w:val="20"/>
                <w:szCs w:val="20"/>
              </w:rPr>
              <w:t>27.02.2021 р. по 28.03.2021 р.</w:t>
            </w:r>
            <w:r w:rsidR="004B5259" w:rsidRPr="00E842E4">
              <w:rPr>
                <w:bCs/>
                <w:sz w:val="20"/>
                <w:szCs w:val="20"/>
              </w:rPr>
              <w:t xml:space="preserve"> включно</w:t>
            </w:r>
            <w:r w:rsidR="004B5259" w:rsidRPr="00EB49A0">
              <w:rPr>
                <w:bCs/>
                <w:sz w:val="20"/>
                <w:szCs w:val="20"/>
              </w:rPr>
              <w:t xml:space="preserve">, акціонери які мають намір реалізувати своє право на обов’язковий викуп Товариством належних їм акцій повинні надати до Товариства письмову вимогу про викуп акцій. </w:t>
            </w:r>
            <w:r w:rsidR="004B5259" w:rsidRPr="00EB49A0">
              <w:rPr>
                <w:sz w:val="20"/>
                <w:szCs w:val="20"/>
              </w:rPr>
              <w:t xml:space="preserve">Вимога направляється рекомендованим </w:t>
            </w:r>
            <w:r w:rsidR="004B5259" w:rsidRPr="00EB49A0">
              <w:rPr>
                <w:snapToGrid w:val="0"/>
                <w:sz w:val="20"/>
                <w:szCs w:val="20"/>
              </w:rPr>
              <w:t>листом з описом вкладення та повідомленням про вручення</w:t>
            </w:r>
            <w:r w:rsidR="004B5259" w:rsidRPr="00EB49A0">
              <w:rPr>
                <w:sz w:val="20"/>
                <w:szCs w:val="20"/>
              </w:rPr>
              <w:t xml:space="preserve"> або надається особисто Товариству за адресою, вказаною у повідомленні про скликання позачергових Загальних зборів. </w:t>
            </w:r>
            <w:r w:rsidR="004B5259" w:rsidRPr="00EB49A0">
              <w:rPr>
                <w:bCs/>
                <w:sz w:val="20"/>
                <w:szCs w:val="20"/>
              </w:rPr>
              <w:t xml:space="preserve">Вимоги акціонерів про викуп акцій надаються </w:t>
            </w:r>
            <w:r w:rsidR="004B5259" w:rsidRPr="00EB49A0">
              <w:rPr>
                <w:rStyle w:val="xfm39478944"/>
                <w:sz w:val="20"/>
                <w:szCs w:val="20"/>
              </w:rPr>
              <w:t xml:space="preserve">у робочі дні </w:t>
            </w:r>
            <w:r w:rsidR="004917E8" w:rsidRPr="00280BBB">
              <w:rPr>
                <w:sz w:val="20"/>
                <w:szCs w:val="20"/>
              </w:rPr>
              <w:t>(понеділок – четвер) з 8.00 години до 17.15 години (перерва з 12.00  до 13.00), п’ятниця - з 8.00 години до 16.00 години (перерва з 12.00  до 13.00)</w:t>
            </w:r>
            <w:r w:rsidR="004917E8" w:rsidRPr="00280BBB">
              <w:rPr>
                <w:bCs/>
                <w:sz w:val="20"/>
                <w:szCs w:val="20"/>
              </w:rPr>
              <w:t xml:space="preserve"> за адресою: Україна,</w:t>
            </w:r>
            <w:r w:rsidR="004917E8" w:rsidRPr="00280BBB">
              <w:rPr>
                <w:sz w:val="20"/>
                <w:szCs w:val="20"/>
              </w:rPr>
              <w:t xml:space="preserve"> м. Рівне, вул. Князя Володимира, буд. 71, </w:t>
            </w:r>
            <w:r w:rsidR="004917E8" w:rsidRPr="004917E8">
              <w:rPr>
                <w:sz w:val="20"/>
                <w:szCs w:val="20"/>
              </w:rPr>
              <w:t>кімната 208.</w:t>
            </w:r>
            <w:r w:rsidR="004917E8" w:rsidRPr="00280BBB">
              <w:rPr>
                <w:sz w:val="20"/>
                <w:szCs w:val="20"/>
              </w:rPr>
              <w:t xml:space="preserve"> </w:t>
            </w:r>
            <w:r w:rsidR="004B5259" w:rsidRPr="00EB49A0">
              <w:rPr>
                <w:bCs/>
                <w:sz w:val="20"/>
                <w:szCs w:val="20"/>
              </w:rPr>
              <w:t>По закінченню вищевказаного строку викуп акцій у акціонерів не здійснюється.</w:t>
            </w:r>
          </w:p>
          <w:p w:rsidR="004B5259" w:rsidRPr="00EB49A0" w:rsidRDefault="004B5259" w:rsidP="001937A8">
            <w:pPr>
              <w:ind w:firstLine="567"/>
              <w:jc w:val="both"/>
              <w:rPr>
                <w:sz w:val="20"/>
                <w:szCs w:val="20"/>
              </w:rPr>
            </w:pPr>
            <w:r w:rsidRPr="00EB49A0">
              <w:rPr>
                <w:bCs/>
                <w:sz w:val="20"/>
                <w:szCs w:val="20"/>
              </w:rPr>
              <w:t>Вимога акціонера про викуп належних йому акцій повинна бути підписана акціонером або його уповноваженою особою (із наданням завірених у встановленому законодавством порядку документів, за якими такі повноваження передаються уповноваженій особі). В разі подання вимоги акціонером-фізичною особою особисто повинен бути пред’явлений паспорт.</w:t>
            </w:r>
          </w:p>
          <w:p w:rsidR="00FF32CF" w:rsidRDefault="004B5259" w:rsidP="00FF32CF">
            <w:pPr>
              <w:ind w:firstLine="567"/>
              <w:jc w:val="both"/>
              <w:rPr>
                <w:sz w:val="20"/>
                <w:szCs w:val="20"/>
              </w:rPr>
            </w:pPr>
            <w:r w:rsidRPr="00EB49A0">
              <w:rPr>
                <w:sz w:val="20"/>
                <w:szCs w:val="20"/>
              </w:rPr>
              <w:lastRenderedPageBreak/>
              <w:t>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w:t>
            </w:r>
          </w:p>
          <w:p w:rsidR="004B5259" w:rsidRPr="00E842E4" w:rsidRDefault="004B5259" w:rsidP="00FF32CF">
            <w:pPr>
              <w:ind w:firstLine="567"/>
              <w:jc w:val="both"/>
              <w:rPr>
                <w:sz w:val="20"/>
                <w:szCs w:val="20"/>
              </w:rPr>
            </w:pPr>
            <w:r w:rsidRPr="00EB49A0">
              <w:rPr>
                <w:bCs/>
                <w:sz w:val="20"/>
                <w:szCs w:val="20"/>
              </w:rPr>
              <w:t xml:space="preserve">Викуп акцій здійснюється на підставі договору купівлі-продажу акцій </w:t>
            </w:r>
            <w:r w:rsidRPr="00E842E4">
              <w:rPr>
                <w:bCs/>
                <w:sz w:val="20"/>
                <w:szCs w:val="20"/>
              </w:rPr>
              <w:t xml:space="preserve">за ціною, </w:t>
            </w:r>
            <w:r w:rsidR="008A0806" w:rsidRPr="00E842E4">
              <w:rPr>
                <w:sz w:val="20"/>
                <w:szCs w:val="20"/>
              </w:rPr>
              <w:t>яка визначена в порядку, встановленому ст. 8 Закону України «Про акціонерні товариства».</w:t>
            </w:r>
          </w:p>
          <w:p w:rsidR="004B5259" w:rsidRPr="00401854" w:rsidRDefault="004B5259" w:rsidP="001937A8">
            <w:pPr>
              <w:ind w:firstLine="567"/>
              <w:jc w:val="both"/>
              <w:rPr>
                <w:sz w:val="20"/>
                <w:szCs w:val="20"/>
              </w:rPr>
            </w:pPr>
            <w:r w:rsidRPr="00E842E4">
              <w:rPr>
                <w:sz w:val="20"/>
                <w:szCs w:val="20"/>
              </w:rPr>
              <w:t>Договір між Товариством та акціонером про обов’язковий викуп Товариством</w:t>
            </w:r>
            <w:r w:rsidRPr="00EB49A0">
              <w:rPr>
                <w:sz w:val="20"/>
                <w:szCs w:val="20"/>
              </w:rPr>
              <w:t xml:space="preserve"> належних акціонеру акцій укладається в письмовій формі.</w:t>
            </w:r>
          </w:p>
          <w:p w:rsidR="00811797" w:rsidRPr="00811797" w:rsidRDefault="00811797" w:rsidP="00811797">
            <w:pPr>
              <w:ind w:firstLine="567"/>
              <w:jc w:val="both"/>
              <w:rPr>
                <w:sz w:val="20"/>
                <w:szCs w:val="20"/>
              </w:rPr>
            </w:pPr>
            <w:r w:rsidRPr="00401854">
              <w:rPr>
                <w:sz w:val="20"/>
                <w:szCs w:val="20"/>
              </w:rPr>
              <w:t>Для укладення договору акціонер повинен звернутись до Товариства за місцезнаходженням Товариства: Україна, м. Рівне, вул. Князя Володимира, буд. 71, кімната 208, у робочі дні (понеділок – п’ятниця) робочий час (з 8.00 до 17.00, п’ятниця з 8-00 до 16.00, перерва з 12.00 до 13.00), та мати при собі паспорт або інший документ, який посвідчує його особу, представник акціонера – додатково відповідну</w:t>
            </w:r>
            <w:r w:rsidRPr="00811797">
              <w:rPr>
                <w:sz w:val="20"/>
                <w:szCs w:val="20"/>
              </w:rPr>
              <w:t xml:space="preserve"> довіреність, рішення (згода) про відчуження належних акцій (за необхідності), а посадова особа, яка діє від імені акціонера – юридичної особи без довіреності, додатково до документу, що посвідчує його особу, належним чином засвідчені копії документів, що посвідчують його повноваження, рішення (згода) про відчуження належних акцій (за необхідності).</w:t>
            </w:r>
          </w:p>
          <w:p w:rsidR="004B5259" w:rsidRPr="00EB49A0" w:rsidRDefault="004B5259" w:rsidP="001937A8">
            <w:pPr>
              <w:tabs>
                <w:tab w:val="left" w:pos="426"/>
              </w:tabs>
              <w:ind w:firstLine="426"/>
              <w:jc w:val="both"/>
              <w:rPr>
                <w:bCs/>
                <w:sz w:val="20"/>
                <w:szCs w:val="20"/>
              </w:rPr>
            </w:pPr>
            <w:r w:rsidRPr="00EB49A0">
              <w:rPr>
                <w:bCs/>
                <w:sz w:val="20"/>
                <w:szCs w:val="20"/>
              </w:rPr>
              <w:t xml:space="preserve">Розрахунки за придбані Товариством  акції здійснюються на підставі договорів купівлі-продажу акцій, які укладаються за підсумками прийняття вимог від акціонерів про викуп акцій. </w:t>
            </w:r>
          </w:p>
          <w:p w:rsidR="00FF32CF" w:rsidRDefault="004B5259" w:rsidP="00FF32CF">
            <w:pPr>
              <w:tabs>
                <w:tab w:val="left" w:pos="426"/>
              </w:tabs>
              <w:ind w:firstLine="426"/>
              <w:jc w:val="both"/>
              <w:rPr>
                <w:bCs/>
                <w:sz w:val="20"/>
                <w:szCs w:val="20"/>
              </w:rPr>
            </w:pPr>
            <w:r w:rsidRPr="00EB49A0">
              <w:rPr>
                <w:sz w:val="20"/>
                <w:szCs w:val="20"/>
              </w:rPr>
              <w:t xml:space="preserve">2. Надати Голові Правління Товариства повноваження на укладення (підписання) договорів купівлі-продажу акцій Товариством з акціонерами, </w:t>
            </w:r>
            <w:r w:rsidRPr="00EB49A0">
              <w:rPr>
                <w:bCs/>
                <w:sz w:val="20"/>
                <w:szCs w:val="20"/>
              </w:rPr>
              <w:t xml:space="preserve">які </w:t>
            </w:r>
            <w:r w:rsidRPr="00EB49A0">
              <w:rPr>
                <w:sz w:val="20"/>
                <w:szCs w:val="20"/>
              </w:rPr>
              <w:t xml:space="preserve">голосували «проти»:  прийняття рішення про збільшення статутного капіталу Товариства; </w:t>
            </w:r>
            <w:r w:rsidRPr="00EB49A0">
              <w:rPr>
                <w:bCs/>
                <w:sz w:val="20"/>
                <w:szCs w:val="20"/>
              </w:rPr>
              <w:t>прийняття рішення</w:t>
            </w:r>
            <w:r w:rsidRPr="00EB49A0">
              <w:rPr>
                <w:sz w:val="20"/>
                <w:szCs w:val="20"/>
              </w:rPr>
              <w:t xml:space="preserve"> про </w:t>
            </w:r>
            <w:r w:rsidRPr="00EB49A0">
              <w:rPr>
                <w:sz w:val="20"/>
                <w:szCs w:val="20"/>
                <w:shd w:val="clear" w:color="auto" w:fill="FFFFFF"/>
              </w:rPr>
              <w:t>відмову від використання переважного права акціонера на придбання акцій додаткової емісії у процесі їх розміщення</w:t>
            </w:r>
            <w:r w:rsidRPr="00EB49A0">
              <w:rPr>
                <w:bCs/>
                <w:sz w:val="20"/>
                <w:szCs w:val="20"/>
              </w:rPr>
              <w:t>.</w:t>
            </w:r>
          </w:p>
          <w:p w:rsidR="004B5259" w:rsidRPr="00FF32CF" w:rsidRDefault="004B5259" w:rsidP="00FF32CF">
            <w:pPr>
              <w:tabs>
                <w:tab w:val="left" w:pos="426"/>
              </w:tabs>
              <w:ind w:firstLine="426"/>
              <w:jc w:val="both"/>
              <w:rPr>
                <w:bCs/>
                <w:sz w:val="20"/>
                <w:szCs w:val="20"/>
              </w:rPr>
            </w:pPr>
            <w:bookmarkStart w:id="0" w:name="_GoBack"/>
            <w:bookmarkEnd w:id="0"/>
            <w:r w:rsidRPr="00EB49A0">
              <w:rPr>
                <w:bCs/>
                <w:sz w:val="20"/>
                <w:szCs w:val="20"/>
              </w:rPr>
              <w:t xml:space="preserve">3. </w:t>
            </w:r>
            <w:r w:rsidRPr="00EB49A0">
              <w:rPr>
                <w:sz w:val="20"/>
                <w:szCs w:val="20"/>
              </w:rPr>
              <w:t>Надати Голові Правління Товариства</w:t>
            </w:r>
            <w:r w:rsidRPr="00EB49A0">
              <w:rPr>
                <w:bCs/>
                <w:sz w:val="20"/>
                <w:szCs w:val="20"/>
              </w:rPr>
              <w:t xml:space="preserve"> повноваження щодо повідомлення акціонерів Товариства, які </w:t>
            </w:r>
            <w:r w:rsidRPr="00EB49A0">
              <w:rPr>
                <w:sz w:val="20"/>
                <w:szCs w:val="20"/>
              </w:rPr>
              <w:t xml:space="preserve">голосували «проти»:  прийняття рішення про збільшення статутного капіталу Товариства; </w:t>
            </w:r>
            <w:r w:rsidRPr="00EB49A0">
              <w:rPr>
                <w:bCs/>
                <w:sz w:val="20"/>
                <w:szCs w:val="20"/>
              </w:rPr>
              <w:t>прийняття рішення</w:t>
            </w:r>
            <w:r w:rsidRPr="00EB49A0">
              <w:rPr>
                <w:sz w:val="20"/>
                <w:szCs w:val="20"/>
              </w:rPr>
              <w:t xml:space="preserve"> про </w:t>
            </w:r>
            <w:r w:rsidRPr="00EB49A0">
              <w:rPr>
                <w:sz w:val="20"/>
                <w:szCs w:val="20"/>
                <w:shd w:val="clear" w:color="auto" w:fill="FFFFFF"/>
              </w:rPr>
              <w:t>відмову від використання переважного права акціонера на придбання акцій додаткової емісії у процесі їх розміщення</w:t>
            </w:r>
            <w:r w:rsidRPr="00EB49A0">
              <w:rPr>
                <w:bCs/>
                <w:sz w:val="20"/>
                <w:szCs w:val="20"/>
              </w:rPr>
              <w:t xml:space="preserve">, про право вимоги обов’язкового викупу акцій Товариством, шляхом направлення </w:t>
            </w:r>
            <w:r w:rsidRPr="00EB49A0">
              <w:rPr>
                <w:sz w:val="20"/>
                <w:szCs w:val="20"/>
              </w:rPr>
              <w:t>рекомендованих листів з повідомленням</w:t>
            </w:r>
            <w:r w:rsidRPr="00EB49A0">
              <w:rPr>
                <w:bCs/>
                <w:sz w:val="20"/>
                <w:szCs w:val="20"/>
              </w:rPr>
              <w:t>.</w:t>
            </w:r>
          </w:p>
        </w:tc>
      </w:tr>
    </w:tbl>
    <w:p w:rsidR="004B5259" w:rsidRPr="00EB49A0" w:rsidRDefault="004B5259" w:rsidP="004B5259">
      <w:pPr>
        <w:pStyle w:val="rvps2"/>
        <w:shd w:val="clear" w:color="auto" w:fill="FFFFFF"/>
        <w:spacing w:before="0" w:beforeAutospacing="0" w:after="0" w:afterAutospacing="0"/>
        <w:ind w:left="360"/>
        <w:jc w:val="both"/>
        <w:rPr>
          <w:sz w:val="20"/>
          <w:szCs w:val="20"/>
          <w:lang w:val="uk-UA"/>
        </w:rPr>
      </w:pPr>
    </w:p>
    <w:p w:rsidR="004B5259" w:rsidRPr="004F5EB3" w:rsidRDefault="004B5259" w:rsidP="004B5259">
      <w:pPr>
        <w:tabs>
          <w:tab w:val="left" w:pos="0"/>
          <w:tab w:val="left" w:pos="867"/>
          <w:tab w:val="left" w:pos="1130"/>
        </w:tabs>
        <w:spacing w:after="160" w:line="256" w:lineRule="auto"/>
        <w:jc w:val="both"/>
        <w:rPr>
          <w:sz w:val="20"/>
          <w:szCs w:val="20"/>
        </w:rPr>
      </w:pPr>
      <w:r w:rsidRPr="00EB49A0">
        <w:rPr>
          <w:rFonts w:eastAsia="Calibri"/>
          <w:sz w:val="20"/>
          <w:szCs w:val="20"/>
          <w:lang w:eastAsia="en-US"/>
        </w:rPr>
        <w:t xml:space="preserve">Інформація з проектами рішень щодо питань, включених до </w:t>
      </w:r>
      <w:r w:rsidR="00790653">
        <w:rPr>
          <w:rFonts w:eastAsia="Calibri"/>
          <w:sz w:val="20"/>
          <w:szCs w:val="20"/>
          <w:lang w:eastAsia="en-US"/>
        </w:rPr>
        <w:t xml:space="preserve">проекту </w:t>
      </w:r>
      <w:r w:rsidRPr="00EB49A0">
        <w:rPr>
          <w:rFonts w:eastAsia="Calibri"/>
          <w:sz w:val="20"/>
          <w:szCs w:val="20"/>
          <w:lang w:eastAsia="en-US"/>
        </w:rPr>
        <w:t xml:space="preserve">порядку денного, розміщена на власному </w:t>
      </w:r>
      <w:proofErr w:type="spellStart"/>
      <w:r w:rsidRPr="00EB49A0">
        <w:rPr>
          <w:rFonts w:eastAsia="Calibri"/>
          <w:sz w:val="20"/>
          <w:szCs w:val="20"/>
          <w:lang w:eastAsia="en-US"/>
        </w:rPr>
        <w:t>веб-сайті</w:t>
      </w:r>
      <w:proofErr w:type="spellEnd"/>
      <w:r w:rsidRPr="00EB49A0">
        <w:rPr>
          <w:rFonts w:eastAsia="Calibri"/>
          <w:sz w:val="20"/>
          <w:szCs w:val="20"/>
          <w:lang w:eastAsia="en-US"/>
        </w:rPr>
        <w:t xml:space="preserve"> за адресою – </w:t>
      </w:r>
      <w:hyperlink r:id="rId7" w:history="1">
        <w:r w:rsidR="004F5EB3" w:rsidRPr="00134362">
          <w:rPr>
            <w:rStyle w:val="ab"/>
            <w:sz w:val="20"/>
            <w:szCs w:val="20"/>
          </w:rPr>
          <w:t>www.roe.vsei.ua</w:t>
        </w:r>
      </w:hyperlink>
      <w:r w:rsidRPr="00EB49A0">
        <w:rPr>
          <w:rFonts w:eastAsia="Calibri"/>
          <w:sz w:val="20"/>
          <w:szCs w:val="20"/>
          <w:lang w:eastAsia="en-US"/>
        </w:rPr>
        <w:t xml:space="preserve"> </w:t>
      </w:r>
    </w:p>
    <w:p w:rsidR="004B5259" w:rsidRPr="00EB49A0" w:rsidRDefault="004B5259" w:rsidP="004B5259">
      <w:pPr>
        <w:pStyle w:val="af4"/>
        <w:spacing w:before="0" w:beforeAutospacing="0" w:after="0" w:afterAutospacing="0"/>
        <w:jc w:val="both"/>
        <w:rPr>
          <w:sz w:val="20"/>
          <w:szCs w:val="20"/>
          <w:lang w:val="uk-UA"/>
        </w:rPr>
      </w:pPr>
      <w:r w:rsidRPr="00EB49A0">
        <w:rPr>
          <w:bCs/>
          <w:iCs/>
          <w:sz w:val="20"/>
          <w:szCs w:val="20"/>
          <w:lang w:val="uk-UA"/>
        </w:rPr>
        <w:t xml:space="preserve">Для участі в позачергових Загальних зборах акціонерам необхідно мати при собі </w:t>
      </w:r>
      <w:r w:rsidRPr="00EB49A0">
        <w:rPr>
          <w:sz w:val="20"/>
          <w:szCs w:val="20"/>
          <w:lang w:val="uk-UA"/>
        </w:rPr>
        <w:t>паспорт або інший документ, що посвідчує особу.</w:t>
      </w:r>
      <w:r w:rsidRPr="00EB49A0">
        <w:rPr>
          <w:bCs/>
          <w:iCs/>
          <w:sz w:val="20"/>
          <w:szCs w:val="20"/>
          <w:lang w:val="uk-UA"/>
        </w:rPr>
        <w:t xml:space="preserve"> </w:t>
      </w:r>
      <w:r w:rsidRPr="00EB49A0">
        <w:rPr>
          <w:sz w:val="20"/>
          <w:szCs w:val="20"/>
          <w:lang w:val="uk-UA"/>
        </w:rPr>
        <w:t xml:space="preserve">Представникам акціонерів </w:t>
      </w:r>
      <w:r w:rsidRPr="00EB49A0">
        <w:rPr>
          <w:bCs/>
          <w:iCs/>
          <w:sz w:val="20"/>
          <w:szCs w:val="20"/>
          <w:lang w:val="uk-UA"/>
        </w:rPr>
        <w:t>необхідно мати при собі</w:t>
      </w:r>
      <w:r w:rsidRPr="00EB49A0">
        <w:rPr>
          <w:sz w:val="20"/>
          <w:szCs w:val="20"/>
          <w:lang w:val="uk-UA"/>
        </w:rPr>
        <w:t xml:space="preserve">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позачергових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позачергових Загальних зборах від імені юридичної особи видається її органом або іншою особою, уповноваженою на це її установчими документами.</w:t>
      </w:r>
    </w:p>
    <w:p w:rsidR="004B5259" w:rsidRPr="00EB49A0" w:rsidRDefault="004B5259" w:rsidP="004B5259">
      <w:pPr>
        <w:pStyle w:val="af4"/>
        <w:spacing w:before="0" w:beforeAutospacing="0" w:after="0" w:afterAutospacing="0"/>
        <w:jc w:val="both"/>
        <w:rPr>
          <w:sz w:val="20"/>
          <w:szCs w:val="20"/>
          <w:lang w:val="uk-UA"/>
        </w:rPr>
      </w:pPr>
      <w:r w:rsidRPr="00EB49A0">
        <w:rPr>
          <w:sz w:val="20"/>
          <w:szCs w:val="20"/>
          <w:lang w:val="uk-UA"/>
        </w:rPr>
        <w:t>Представником акціонера - фізичної чи юридичної особи на позачергових Загальних зборах Товариства може бути інша фізична особа або уповноважена особа юридичної особи.</w:t>
      </w:r>
    </w:p>
    <w:p w:rsidR="004B5259" w:rsidRPr="00EB49A0" w:rsidRDefault="004B5259" w:rsidP="004B5259">
      <w:pPr>
        <w:pStyle w:val="af4"/>
        <w:spacing w:before="0" w:beforeAutospacing="0" w:after="0" w:afterAutospacing="0"/>
        <w:jc w:val="both"/>
        <w:rPr>
          <w:sz w:val="20"/>
          <w:szCs w:val="20"/>
          <w:lang w:val="uk-UA"/>
        </w:rPr>
      </w:pPr>
      <w:r w:rsidRPr="00EB49A0">
        <w:rPr>
          <w:sz w:val="20"/>
          <w:szCs w:val="20"/>
          <w:lang w:val="uk-UA"/>
        </w:rPr>
        <w:t xml:space="preserve">Довіреність на право участі та голосування на позачергових Загальних зборах Товариства може містити завдання щодо голосування, тобто перелік питань порядку денного позачергових Загальних зборів із зазначенням того, як і за яке (проти якого) рішення потрібно проголосувати. Під час голосування на позачергових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позачергових Загальних зборах акціонерів на свій розсуд. </w:t>
      </w:r>
    </w:p>
    <w:p w:rsidR="004B5259" w:rsidRPr="00EB49A0" w:rsidRDefault="004B5259" w:rsidP="004B5259">
      <w:pPr>
        <w:pStyle w:val="af4"/>
        <w:spacing w:before="0" w:beforeAutospacing="0" w:after="0" w:afterAutospacing="0"/>
        <w:jc w:val="both"/>
        <w:rPr>
          <w:sz w:val="20"/>
          <w:szCs w:val="20"/>
          <w:lang w:val="uk-UA"/>
        </w:rPr>
      </w:pPr>
      <w:r w:rsidRPr="00EB49A0">
        <w:rPr>
          <w:sz w:val="20"/>
          <w:szCs w:val="20"/>
          <w:lang w:val="uk-UA"/>
        </w:rPr>
        <w:t xml:space="preserve">Акціонер має право видати довіреність на право участі та голосування на позачергових Загальних зборах декільком своїм представникам.   Акціонер має право у будь-який час відкликати чи замінити свого представника на позачергових Загальних зборах Товариства. </w:t>
      </w:r>
    </w:p>
    <w:p w:rsidR="004B5259" w:rsidRPr="00EB49A0" w:rsidRDefault="004B5259" w:rsidP="004B5259">
      <w:pPr>
        <w:pStyle w:val="af4"/>
        <w:spacing w:before="0" w:beforeAutospacing="0" w:after="0" w:afterAutospacing="0"/>
        <w:jc w:val="both"/>
        <w:rPr>
          <w:sz w:val="20"/>
          <w:szCs w:val="20"/>
          <w:lang w:val="uk-UA"/>
        </w:rPr>
      </w:pPr>
      <w:r w:rsidRPr="00EB49A0">
        <w:rPr>
          <w:sz w:val="20"/>
          <w:szCs w:val="20"/>
          <w:lang w:val="uk-UA"/>
        </w:rPr>
        <w:t xml:space="preserve">Надання довіреності на право участі та голосування на позачергових Загальних зборах не виключає право участі на цих позачергових Загальних зборах акціонера, який видав довіреність, замість свого представника. </w:t>
      </w:r>
    </w:p>
    <w:p w:rsidR="004B5259" w:rsidRPr="00EB49A0" w:rsidRDefault="004B5259" w:rsidP="004B5259">
      <w:pPr>
        <w:pStyle w:val="a3"/>
        <w:ind w:left="0"/>
        <w:jc w:val="both"/>
        <w:rPr>
          <w:sz w:val="20"/>
          <w:szCs w:val="20"/>
        </w:rPr>
      </w:pPr>
    </w:p>
    <w:p w:rsidR="00811797" w:rsidRPr="00280BBB" w:rsidRDefault="00811797" w:rsidP="00811797">
      <w:pPr>
        <w:jc w:val="both"/>
        <w:rPr>
          <w:sz w:val="20"/>
          <w:szCs w:val="20"/>
        </w:rPr>
      </w:pPr>
      <w:r w:rsidRPr="00280BBB">
        <w:rPr>
          <w:sz w:val="20"/>
          <w:szCs w:val="20"/>
        </w:rPr>
        <w:t>Від дати надіслання повідомлення про проведення позачергових Загальних зборів до дати прове</w:t>
      </w:r>
      <w:r w:rsidRPr="00280BBB">
        <w:rPr>
          <w:sz w:val="20"/>
          <w:szCs w:val="20"/>
        </w:rPr>
        <w:softHyphen/>
        <w:t>дення позачергових Загальних зборів Товариства акціонери мають можливість ознайо</w:t>
      </w:r>
      <w:r w:rsidRPr="00280BBB">
        <w:rPr>
          <w:sz w:val="20"/>
          <w:szCs w:val="20"/>
        </w:rPr>
        <w:softHyphen/>
        <w:t>ми</w:t>
      </w:r>
      <w:r w:rsidRPr="00280BBB">
        <w:rPr>
          <w:sz w:val="20"/>
          <w:szCs w:val="20"/>
        </w:rPr>
        <w:softHyphen/>
        <w:t>тися з документами, необхідними для прийняття рішень з питань порядку ден</w:t>
      </w:r>
      <w:r w:rsidRPr="00280BBB">
        <w:rPr>
          <w:sz w:val="20"/>
          <w:szCs w:val="20"/>
        </w:rPr>
        <w:softHyphen/>
        <w:t>ного та проектом (проектами) рішення з питань порядку денного, за місцезнаходженням Товариства: Україна, м. Рівне, вул. Князя Володимира, буд. 71, кімната 208, у робочі дні (понеділок – четвер) з 8.00 години до 17.15 години (перерва з 12.00  до 13.00), п’ятниця - з 8.00 години до 16.00 години (перерва з 12.00  до 13.00), а в день проведення Загальних зборів акціонерів – у місці їх проведення. Посадова особа, відповідальна за порядок ознайомлення акціонерів з документами – ч</w:t>
      </w:r>
      <w:r w:rsidRPr="00280BBB">
        <w:rPr>
          <w:rStyle w:val="xfm87739929"/>
          <w:sz w:val="20"/>
          <w:szCs w:val="20"/>
        </w:rPr>
        <w:t xml:space="preserve">лен Правління, директор фінансовий </w:t>
      </w:r>
      <w:proofErr w:type="spellStart"/>
      <w:r w:rsidRPr="00280BBB">
        <w:rPr>
          <w:rStyle w:val="xfm87739929"/>
          <w:sz w:val="20"/>
          <w:szCs w:val="20"/>
        </w:rPr>
        <w:t>Помадовський</w:t>
      </w:r>
      <w:proofErr w:type="spellEnd"/>
      <w:r w:rsidRPr="00280BBB">
        <w:rPr>
          <w:rStyle w:val="xfm87739929"/>
          <w:sz w:val="20"/>
          <w:szCs w:val="20"/>
        </w:rPr>
        <w:t xml:space="preserve"> Роман Леонідович.</w:t>
      </w:r>
      <w:r>
        <w:rPr>
          <w:rStyle w:val="xfm87739929"/>
          <w:sz w:val="20"/>
          <w:szCs w:val="20"/>
        </w:rPr>
        <w:t xml:space="preserve"> </w:t>
      </w:r>
      <w:r w:rsidRPr="00280BBB">
        <w:rPr>
          <w:sz w:val="20"/>
          <w:szCs w:val="20"/>
        </w:rPr>
        <w:t>Телефон для довідок: (0362) 69-42-05.</w:t>
      </w:r>
    </w:p>
    <w:p w:rsidR="00811797" w:rsidRPr="00280BBB" w:rsidRDefault="00811797" w:rsidP="00811797">
      <w:pPr>
        <w:contextualSpacing/>
        <w:jc w:val="both"/>
        <w:rPr>
          <w:sz w:val="20"/>
          <w:szCs w:val="20"/>
        </w:rPr>
      </w:pPr>
    </w:p>
    <w:p w:rsidR="00811797" w:rsidRPr="00280BBB" w:rsidRDefault="00811797" w:rsidP="00811797">
      <w:pPr>
        <w:jc w:val="both"/>
        <w:rPr>
          <w:sz w:val="20"/>
          <w:szCs w:val="20"/>
        </w:rPr>
      </w:pPr>
      <w:r w:rsidRPr="00280BBB">
        <w:rPr>
          <w:sz w:val="20"/>
          <w:szCs w:val="20"/>
          <w:shd w:val="clear" w:color="auto" w:fill="FFFFFF"/>
        </w:rPr>
        <w:t xml:space="preserve">Оскільки </w:t>
      </w:r>
      <w:r w:rsidR="00845FF0">
        <w:rPr>
          <w:sz w:val="20"/>
          <w:szCs w:val="20"/>
          <w:shd w:val="clear" w:color="auto" w:fill="FFFFFF"/>
        </w:rPr>
        <w:t xml:space="preserve">проект </w:t>
      </w:r>
      <w:r w:rsidRPr="00280BBB">
        <w:rPr>
          <w:sz w:val="20"/>
          <w:szCs w:val="20"/>
          <w:shd w:val="clear" w:color="auto" w:fill="FFFFFF"/>
        </w:rPr>
        <w:t>порядк</w:t>
      </w:r>
      <w:r w:rsidR="00845FF0">
        <w:rPr>
          <w:sz w:val="20"/>
          <w:szCs w:val="20"/>
          <w:shd w:val="clear" w:color="auto" w:fill="FFFFFF"/>
        </w:rPr>
        <w:t>у</w:t>
      </w:r>
      <w:r w:rsidRPr="00280BBB">
        <w:rPr>
          <w:sz w:val="20"/>
          <w:szCs w:val="20"/>
          <w:shd w:val="clear" w:color="auto" w:fill="FFFFFF"/>
        </w:rPr>
        <w:t xml:space="preserve"> денн</w:t>
      </w:r>
      <w:r w:rsidR="00845FF0">
        <w:rPr>
          <w:sz w:val="20"/>
          <w:szCs w:val="20"/>
          <w:shd w:val="clear" w:color="auto" w:fill="FFFFFF"/>
        </w:rPr>
        <w:t>ого</w:t>
      </w:r>
      <w:r w:rsidRPr="00280BBB">
        <w:rPr>
          <w:sz w:val="20"/>
          <w:szCs w:val="20"/>
          <w:shd w:val="clear" w:color="auto" w:fill="FFFFFF"/>
        </w:rPr>
        <w:t xml:space="preserve"> позачергових Загальних зборів передбачає голосування з питань, визначених </w:t>
      </w:r>
      <w:hyperlink r:id="rId8" w:anchor="n956" w:history="1">
        <w:r w:rsidRPr="00280BBB">
          <w:rPr>
            <w:sz w:val="20"/>
            <w:szCs w:val="20"/>
            <w:shd w:val="clear" w:color="auto" w:fill="FFFFFF"/>
          </w:rPr>
          <w:t>статтею 68</w:t>
        </w:r>
      </w:hyperlink>
      <w:r w:rsidRPr="00280BBB">
        <w:rPr>
          <w:sz w:val="20"/>
          <w:szCs w:val="20"/>
          <w:shd w:val="clear" w:color="auto" w:fill="FFFFFF"/>
        </w:rPr>
        <w:t xml:space="preserve"> Закону України «Про акціонерні товариства», Товариство надає акціонерам можливість </w:t>
      </w:r>
      <w:r w:rsidRPr="00280BBB">
        <w:rPr>
          <w:sz w:val="20"/>
          <w:szCs w:val="20"/>
          <w:shd w:val="clear" w:color="auto" w:fill="FFFFFF"/>
        </w:rPr>
        <w:lastRenderedPageBreak/>
        <w:t>ознайомитися з проектом договору про викуп Товариством акцій відповідно до порядку, передбаченого </w:t>
      </w:r>
      <w:hyperlink r:id="rId9" w:anchor="n972" w:history="1">
        <w:r w:rsidRPr="00280BBB">
          <w:rPr>
            <w:sz w:val="20"/>
            <w:szCs w:val="20"/>
            <w:shd w:val="clear" w:color="auto" w:fill="FFFFFF"/>
          </w:rPr>
          <w:t>статтею 69</w:t>
        </w:r>
      </w:hyperlink>
      <w:r w:rsidRPr="00280BBB">
        <w:rPr>
          <w:sz w:val="20"/>
          <w:szCs w:val="20"/>
          <w:shd w:val="clear" w:color="auto" w:fill="FFFFFF"/>
        </w:rPr>
        <w:t xml:space="preserve"> Закону України «Про акціонерні товариства». Умови договору (крім кількості і загальної вартості акцій) є єдиними для всіх акціонерів. </w:t>
      </w:r>
      <w:r w:rsidRPr="00280BBB">
        <w:rPr>
          <w:sz w:val="20"/>
          <w:szCs w:val="20"/>
        </w:rPr>
        <w:t xml:space="preserve">Адреса для ознайомлення: Україна,  33013, м. Рівне, вул. Князя Володимира, буд. </w:t>
      </w:r>
      <w:r w:rsidRPr="00536486">
        <w:rPr>
          <w:sz w:val="20"/>
          <w:szCs w:val="20"/>
        </w:rPr>
        <w:t>71, кімната 208,</w:t>
      </w:r>
      <w:r w:rsidRPr="00280BBB">
        <w:rPr>
          <w:sz w:val="20"/>
          <w:szCs w:val="20"/>
        </w:rPr>
        <w:t xml:space="preserve"> у робочі дні (понеділок – четвер) з 8.00 години до 17.15 години (перерва з 12.00  до 13.00), п’ятниця - з 8.00 години до 16.00 години (перерва з 12.00  до 13.00). В день проведення  позачергових Загальних зборів – також у місці їх проведення за адресою:  Україна, </w:t>
      </w:r>
      <w:smartTag w:uri="urn:schemas-microsoft-com:office:smarttags" w:element="metricconverter">
        <w:smartTagPr>
          <w:attr w:name="ProductID" w:val="33013, м"/>
        </w:smartTagPr>
        <w:r w:rsidRPr="00280BBB">
          <w:rPr>
            <w:sz w:val="20"/>
            <w:szCs w:val="20"/>
          </w:rPr>
          <w:t>33013, м</w:t>
        </w:r>
      </w:smartTag>
      <w:r w:rsidRPr="00280BBB">
        <w:rPr>
          <w:sz w:val="20"/>
          <w:szCs w:val="20"/>
        </w:rPr>
        <w:t xml:space="preserve">. Рівне, вул. Князя Володимира, буд. 71, 5-й поверх, актова зала, </w:t>
      </w:r>
      <w:proofErr w:type="spellStart"/>
      <w:r w:rsidRPr="00280BBB">
        <w:rPr>
          <w:sz w:val="20"/>
          <w:szCs w:val="20"/>
        </w:rPr>
        <w:t>каб</w:t>
      </w:r>
      <w:proofErr w:type="spellEnd"/>
      <w:r w:rsidRPr="00280BBB">
        <w:rPr>
          <w:sz w:val="20"/>
          <w:szCs w:val="20"/>
        </w:rPr>
        <w:t xml:space="preserve">. №507. Особа, відповідальна за порядок ознайомлення акціонерів </w:t>
      </w:r>
      <w:r w:rsidRPr="00280BBB">
        <w:rPr>
          <w:sz w:val="20"/>
          <w:szCs w:val="20"/>
          <w:shd w:val="clear" w:color="auto" w:fill="FFFFFF"/>
        </w:rPr>
        <w:t>з проектом договору про викуп Товариством акцій</w:t>
      </w:r>
      <w:r w:rsidRPr="00280BBB">
        <w:rPr>
          <w:sz w:val="20"/>
          <w:szCs w:val="20"/>
        </w:rPr>
        <w:t>: ч</w:t>
      </w:r>
      <w:r w:rsidRPr="00280BBB">
        <w:rPr>
          <w:rStyle w:val="xfm87739929"/>
          <w:sz w:val="20"/>
          <w:szCs w:val="20"/>
        </w:rPr>
        <w:t xml:space="preserve">лен Правління, директор фінансовий </w:t>
      </w:r>
      <w:proofErr w:type="spellStart"/>
      <w:r w:rsidRPr="00280BBB">
        <w:rPr>
          <w:rStyle w:val="xfm87739929"/>
          <w:sz w:val="20"/>
          <w:szCs w:val="20"/>
        </w:rPr>
        <w:t>Помадовський</w:t>
      </w:r>
      <w:proofErr w:type="spellEnd"/>
      <w:r w:rsidRPr="00280BBB">
        <w:rPr>
          <w:rStyle w:val="xfm87739929"/>
          <w:sz w:val="20"/>
          <w:szCs w:val="20"/>
        </w:rPr>
        <w:t xml:space="preserve"> Роман Леонідович.</w:t>
      </w:r>
    </w:p>
    <w:p w:rsidR="004B5259" w:rsidRPr="00EB49A0" w:rsidRDefault="004B5259" w:rsidP="004B5259">
      <w:pPr>
        <w:pStyle w:val="af4"/>
        <w:spacing w:before="0" w:beforeAutospacing="0" w:after="0" w:afterAutospacing="0"/>
        <w:jc w:val="both"/>
        <w:rPr>
          <w:sz w:val="20"/>
          <w:szCs w:val="20"/>
          <w:lang w:val="uk-UA"/>
        </w:rPr>
      </w:pPr>
    </w:p>
    <w:p w:rsidR="004B5259" w:rsidRPr="00EB49A0" w:rsidRDefault="004B5259" w:rsidP="004B5259">
      <w:pPr>
        <w:pStyle w:val="af4"/>
        <w:spacing w:before="0" w:beforeAutospacing="0" w:after="0" w:afterAutospacing="0"/>
        <w:jc w:val="both"/>
        <w:rPr>
          <w:sz w:val="20"/>
          <w:szCs w:val="20"/>
          <w:lang w:val="uk-UA"/>
        </w:rPr>
      </w:pPr>
      <w:r w:rsidRPr="00EB49A0">
        <w:rPr>
          <w:sz w:val="20"/>
          <w:szCs w:val="20"/>
          <w:lang w:val="uk-UA"/>
        </w:rPr>
        <w:t xml:space="preserve">Товариство до початку позачергових Загальних зборів у встановленому ним порядку зобов'язане надавати письмові відповіді на письмові запитання акціонерів щодо питань, включених до </w:t>
      </w:r>
      <w:r w:rsidR="00845FF0">
        <w:rPr>
          <w:sz w:val="20"/>
          <w:szCs w:val="20"/>
          <w:lang w:val="uk-UA"/>
        </w:rPr>
        <w:t xml:space="preserve">проекту порядку денного </w:t>
      </w:r>
      <w:r w:rsidR="00845FF0" w:rsidRPr="00EB49A0">
        <w:rPr>
          <w:sz w:val="20"/>
          <w:szCs w:val="20"/>
          <w:lang w:val="uk-UA"/>
        </w:rPr>
        <w:t xml:space="preserve">позачергових Загальних зборів </w:t>
      </w:r>
      <w:r w:rsidR="00845FF0">
        <w:rPr>
          <w:sz w:val="20"/>
          <w:szCs w:val="20"/>
          <w:lang w:val="uk-UA"/>
        </w:rPr>
        <w:t xml:space="preserve"> та </w:t>
      </w:r>
      <w:r w:rsidRPr="00EB49A0">
        <w:rPr>
          <w:sz w:val="20"/>
          <w:szCs w:val="20"/>
          <w:lang w:val="uk-UA"/>
        </w:rPr>
        <w:t>порядку денного позачергових Загальних зборів до дати проведення позач</w:t>
      </w:r>
      <w:r w:rsidR="00823148">
        <w:rPr>
          <w:sz w:val="20"/>
          <w:szCs w:val="20"/>
          <w:lang w:val="uk-UA"/>
        </w:rPr>
        <w:t xml:space="preserve">ергових Загальних зборів  (до </w:t>
      </w:r>
      <w:r w:rsidR="007A681C">
        <w:rPr>
          <w:sz w:val="20"/>
          <w:szCs w:val="20"/>
          <w:lang w:val="uk-UA"/>
        </w:rPr>
        <w:t>2</w:t>
      </w:r>
      <w:r w:rsidR="00823148">
        <w:rPr>
          <w:sz w:val="20"/>
          <w:szCs w:val="20"/>
          <w:lang w:val="uk-UA"/>
        </w:rPr>
        <w:t>6.0</w:t>
      </w:r>
      <w:r w:rsidR="007A681C">
        <w:rPr>
          <w:sz w:val="20"/>
          <w:szCs w:val="20"/>
          <w:lang w:val="uk-UA"/>
        </w:rPr>
        <w:t>2</w:t>
      </w:r>
      <w:r w:rsidR="00823148">
        <w:rPr>
          <w:sz w:val="20"/>
          <w:szCs w:val="20"/>
          <w:lang w:val="uk-UA"/>
        </w:rPr>
        <w:t>.2021</w:t>
      </w:r>
      <w:r w:rsidRPr="00EB49A0">
        <w:rPr>
          <w:sz w:val="20"/>
          <w:szCs w:val="20"/>
          <w:lang w:val="uk-UA"/>
        </w:rPr>
        <w:t xml:space="preserve">р.). Товариство може надати одну загальну відповідь на всі запитання однакового змісту. </w:t>
      </w:r>
    </w:p>
    <w:p w:rsidR="004B5259" w:rsidRPr="00EB49A0" w:rsidRDefault="004B5259" w:rsidP="004B5259">
      <w:pPr>
        <w:spacing w:before="120"/>
        <w:jc w:val="both"/>
        <w:rPr>
          <w:sz w:val="20"/>
          <w:szCs w:val="20"/>
        </w:rPr>
      </w:pPr>
      <w:r w:rsidRPr="00EB49A0">
        <w:rPr>
          <w:sz w:val="20"/>
          <w:szCs w:val="20"/>
        </w:rPr>
        <w:t xml:space="preserve">Відповідно до ст. 38 Закону України «Про акціонерні товариства» кожний акціонер Товариства має право вносити пропозиції щодо питань, включених до проекту порядку денного позачергових Загальних зборів Товариства. Пропозиції вносяться не пізніше ніж за 20 днів до дати проведення позачергових Загальних зборів Товариства, а щодо кандидатів до складу органів Товариства - не пізніше ніж за сім днів до дати проведення позачергових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позачергових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Товариства, які сукупно є власниками 5 або більше відсотків голосуючих акцій Товариства, підлягають обов'язковому включенню до проекту порядку денного позачергових Загальних зборів.  </w:t>
      </w:r>
    </w:p>
    <w:p w:rsidR="004B5259" w:rsidRPr="00EB49A0" w:rsidRDefault="004B5259" w:rsidP="004B5259">
      <w:pPr>
        <w:spacing w:before="120"/>
        <w:jc w:val="both"/>
        <w:rPr>
          <w:sz w:val="20"/>
          <w:szCs w:val="20"/>
        </w:rPr>
      </w:pPr>
      <w:r w:rsidRPr="00EB49A0">
        <w:rPr>
          <w:sz w:val="20"/>
          <w:szCs w:val="20"/>
        </w:rPr>
        <w:t>*</w:t>
      </w:r>
      <w:r w:rsidRPr="00EB49A0">
        <w:rPr>
          <w:i/>
          <w:iCs/>
          <w:sz w:val="20"/>
          <w:szCs w:val="20"/>
        </w:rPr>
        <w:t xml:space="preserve">З метою забезпечення дотримання протиепідемічних та санітарних заходів уникнення значного поширення гострої респіраторної хвороби COVID-19, спричиненої </w:t>
      </w:r>
      <w:proofErr w:type="spellStart"/>
      <w:r w:rsidRPr="00EB49A0">
        <w:rPr>
          <w:i/>
          <w:iCs/>
          <w:sz w:val="20"/>
          <w:szCs w:val="20"/>
        </w:rPr>
        <w:t>коронавірусом</w:t>
      </w:r>
      <w:proofErr w:type="spellEnd"/>
      <w:r w:rsidRPr="00EB49A0">
        <w:rPr>
          <w:i/>
          <w:iCs/>
          <w:sz w:val="20"/>
          <w:szCs w:val="20"/>
        </w:rPr>
        <w:t xml:space="preserve"> SARS-CoV-2, на виконання Закону України «Про захист населення від інфекційних хвороб», Постанови Кабінету Міністрів України від 11.03.2020р. №211 «Про запобігання поширенню на території України гострої респіраторної хвороби COVID-19, спричиненої </w:t>
      </w:r>
      <w:proofErr w:type="spellStart"/>
      <w:r w:rsidRPr="00EB49A0">
        <w:rPr>
          <w:i/>
          <w:iCs/>
          <w:sz w:val="20"/>
          <w:szCs w:val="20"/>
        </w:rPr>
        <w:t>коронавірусом</w:t>
      </w:r>
      <w:proofErr w:type="spellEnd"/>
      <w:r w:rsidRPr="00EB49A0">
        <w:rPr>
          <w:i/>
          <w:iCs/>
          <w:sz w:val="20"/>
          <w:szCs w:val="20"/>
        </w:rPr>
        <w:t xml:space="preserve"> SARS-CoV-2», Постанови Кабінету Міністрів України від 22.07.2020р.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EB49A0">
        <w:rPr>
          <w:i/>
          <w:iCs/>
          <w:sz w:val="20"/>
          <w:szCs w:val="20"/>
        </w:rPr>
        <w:t>коронавірусом</w:t>
      </w:r>
      <w:proofErr w:type="spellEnd"/>
      <w:r w:rsidRPr="00EB49A0">
        <w:rPr>
          <w:i/>
          <w:iCs/>
          <w:sz w:val="20"/>
          <w:szCs w:val="20"/>
        </w:rPr>
        <w:t xml:space="preserve"> SARS-CoV-2»</w:t>
      </w:r>
      <w:r w:rsidR="007A681C">
        <w:rPr>
          <w:i/>
          <w:iCs/>
          <w:sz w:val="20"/>
          <w:szCs w:val="20"/>
        </w:rPr>
        <w:t>,</w:t>
      </w:r>
      <w:r w:rsidRPr="00EB49A0">
        <w:rPr>
          <w:i/>
          <w:iCs/>
          <w:sz w:val="20"/>
          <w:szCs w:val="20"/>
        </w:rPr>
        <w:t xml:space="preserve"> </w:t>
      </w:r>
      <w:r w:rsidR="007A681C" w:rsidRPr="007A681C">
        <w:rPr>
          <w:i/>
          <w:iCs/>
          <w:sz w:val="20"/>
          <w:szCs w:val="20"/>
        </w:rPr>
        <w:t xml:space="preserve">Постанови Кабінету Міністрів України від 09.12.2020р.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7A681C" w:rsidRPr="007A681C">
        <w:rPr>
          <w:i/>
          <w:iCs/>
          <w:sz w:val="20"/>
          <w:szCs w:val="20"/>
        </w:rPr>
        <w:t>коронавір</w:t>
      </w:r>
      <w:r w:rsidR="007A681C">
        <w:rPr>
          <w:i/>
          <w:iCs/>
          <w:sz w:val="20"/>
          <w:szCs w:val="20"/>
        </w:rPr>
        <w:t>усом</w:t>
      </w:r>
      <w:proofErr w:type="spellEnd"/>
      <w:r w:rsidR="007A681C">
        <w:rPr>
          <w:i/>
          <w:iCs/>
          <w:sz w:val="20"/>
          <w:szCs w:val="20"/>
        </w:rPr>
        <w:t xml:space="preserve"> SARS-CoV-2</w:t>
      </w:r>
      <w:r w:rsidR="00996405">
        <w:rPr>
          <w:i/>
          <w:iCs/>
          <w:sz w:val="20"/>
          <w:szCs w:val="20"/>
        </w:rPr>
        <w:t>»</w:t>
      </w:r>
      <w:r w:rsidR="007A681C">
        <w:rPr>
          <w:i/>
          <w:iCs/>
          <w:sz w:val="20"/>
          <w:szCs w:val="20"/>
        </w:rPr>
        <w:t>,</w:t>
      </w:r>
      <w:r w:rsidRPr="00EB49A0">
        <w:rPr>
          <w:i/>
          <w:iCs/>
          <w:sz w:val="20"/>
          <w:szCs w:val="20"/>
        </w:rPr>
        <w:t xml:space="preserve"> Товариство при проведенні позачергових  Загальних зборів забезпечує кожного акціонера (представника акціонера) засобами індивідуального захисту, зокрема, захисними масками, гумовими рукавичками, а також, антисептичними противірусними засобами на основі спирту. Кожний акціонер (представник акціонера) повинен пройти температурний </w:t>
      </w:r>
      <w:proofErr w:type="spellStart"/>
      <w:r w:rsidRPr="00EB49A0">
        <w:rPr>
          <w:i/>
          <w:iCs/>
          <w:sz w:val="20"/>
          <w:szCs w:val="20"/>
        </w:rPr>
        <w:t>скринінг</w:t>
      </w:r>
      <w:proofErr w:type="spellEnd"/>
      <w:r w:rsidRPr="00EB49A0">
        <w:rPr>
          <w:i/>
          <w:iCs/>
          <w:sz w:val="20"/>
          <w:szCs w:val="20"/>
        </w:rPr>
        <w:t xml:space="preserve"> перед реєстрацією для участі у позачергових  Загальних зборах. З метою дотримання санітарних та протиепідемічних заходів буде забезпечено перебування усіх присутніх на позачергових Загальних зборах на відстані не менше 2 метрів один від одного.</w:t>
      </w:r>
    </w:p>
    <w:p w:rsidR="004B5259" w:rsidRPr="00EB49A0" w:rsidRDefault="004B5259" w:rsidP="004B5259">
      <w:pPr>
        <w:jc w:val="both"/>
        <w:rPr>
          <w:sz w:val="20"/>
          <w:szCs w:val="20"/>
        </w:rPr>
      </w:pPr>
    </w:p>
    <w:p w:rsidR="004B5259" w:rsidRPr="00EB49A0" w:rsidRDefault="004B5259" w:rsidP="004B5259">
      <w:pPr>
        <w:ind w:firstLine="708"/>
        <w:jc w:val="both"/>
        <w:rPr>
          <w:sz w:val="20"/>
          <w:szCs w:val="20"/>
        </w:rPr>
      </w:pPr>
    </w:p>
    <w:p w:rsidR="004B5259" w:rsidRPr="00EB49A0" w:rsidRDefault="004B5259" w:rsidP="004B5259">
      <w:pPr>
        <w:rPr>
          <w:b/>
          <w:sz w:val="20"/>
          <w:szCs w:val="20"/>
        </w:rPr>
      </w:pPr>
      <w:r w:rsidRPr="00EB49A0">
        <w:rPr>
          <w:b/>
          <w:sz w:val="20"/>
          <w:szCs w:val="20"/>
        </w:rPr>
        <w:t>Уповноважений Наглядовою радою</w:t>
      </w:r>
    </w:p>
    <w:p w:rsidR="004B5259" w:rsidRPr="00EB49A0" w:rsidRDefault="004B5259" w:rsidP="004B5259">
      <w:pPr>
        <w:rPr>
          <w:b/>
          <w:sz w:val="20"/>
          <w:szCs w:val="20"/>
        </w:rPr>
      </w:pPr>
    </w:p>
    <w:p w:rsidR="007D79EE" w:rsidRPr="00280BBB" w:rsidRDefault="007D79EE" w:rsidP="007D79EE">
      <w:pPr>
        <w:rPr>
          <w:b/>
          <w:sz w:val="20"/>
          <w:szCs w:val="20"/>
        </w:rPr>
      </w:pPr>
      <w:r w:rsidRPr="00280BBB">
        <w:rPr>
          <w:b/>
          <w:sz w:val="20"/>
          <w:szCs w:val="20"/>
        </w:rPr>
        <w:t xml:space="preserve">Голова Правління  </w:t>
      </w:r>
    </w:p>
    <w:p w:rsidR="007D79EE" w:rsidRPr="00280BBB" w:rsidRDefault="007D79EE" w:rsidP="007D79EE">
      <w:pPr>
        <w:rPr>
          <w:b/>
          <w:sz w:val="20"/>
          <w:szCs w:val="20"/>
        </w:rPr>
      </w:pPr>
      <w:proofErr w:type="spellStart"/>
      <w:r w:rsidRPr="00280BBB">
        <w:rPr>
          <w:b/>
          <w:sz w:val="20"/>
          <w:szCs w:val="20"/>
        </w:rPr>
        <w:t>ПрАТ</w:t>
      </w:r>
      <w:proofErr w:type="spellEnd"/>
      <w:r w:rsidRPr="00280BBB">
        <w:rPr>
          <w:b/>
          <w:sz w:val="20"/>
          <w:szCs w:val="20"/>
        </w:rPr>
        <w:t xml:space="preserve"> «РІВНЕОБЛЕНЕРГО»                                                                                        С.М. </w:t>
      </w:r>
      <w:proofErr w:type="spellStart"/>
      <w:r w:rsidRPr="00280BBB">
        <w:rPr>
          <w:b/>
          <w:sz w:val="20"/>
          <w:szCs w:val="20"/>
        </w:rPr>
        <w:t>Невмержицький</w:t>
      </w:r>
      <w:proofErr w:type="spellEnd"/>
    </w:p>
    <w:p w:rsidR="00B85078" w:rsidRPr="002E5CB7" w:rsidRDefault="00B85078" w:rsidP="004B5259">
      <w:pPr>
        <w:contextualSpacing/>
        <w:jc w:val="center"/>
        <w:rPr>
          <w:b/>
          <w:sz w:val="20"/>
          <w:szCs w:val="20"/>
        </w:rPr>
      </w:pPr>
    </w:p>
    <w:sectPr w:rsidR="00B85078" w:rsidRPr="002E5CB7" w:rsidSect="00F5025C">
      <w:footerReference w:type="default" r:id="rId10"/>
      <w:pgSz w:w="11906" w:h="16838"/>
      <w:pgMar w:top="851"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1F" w:rsidRDefault="0090551F">
      <w:r>
        <w:separator/>
      </w:r>
    </w:p>
  </w:endnote>
  <w:endnote w:type="continuationSeparator" w:id="0">
    <w:p w:rsidR="0090551F" w:rsidRDefault="00905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08" w:rsidRDefault="00166A49">
    <w:pPr>
      <w:pStyle w:val="a4"/>
      <w:jc w:val="right"/>
    </w:pPr>
    <w:r w:rsidRPr="00166A49">
      <w:fldChar w:fldCharType="begin"/>
    </w:r>
    <w:r w:rsidR="004D3474">
      <w:instrText>PAGE   \* MERGEFORMAT</w:instrText>
    </w:r>
    <w:r w:rsidRPr="00166A49">
      <w:fldChar w:fldCharType="separate"/>
    </w:r>
    <w:r w:rsidR="00583156" w:rsidRPr="00583156">
      <w:rPr>
        <w:noProof/>
        <w:lang w:val="ru-RU"/>
      </w:rPr>
      <w:t>1</w:t>
    </w:r>
    <w:r>
      <w:rPr>
        <w:noProof/>
        <w:lang w:val="ru-RU"/>
      </w:rPr>
      <w:fldChar w:fldCharType="end"/>
    </w:r>
  </w:p>
  <w:p w:rsidR="00026508" w:rsidRDefault="000265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1F" w:rsidRDefault="0090551F">
      <w:r>
        <w:separator/>
      </w:r>
    </w:p>
  </w:footnote>
  <w:footnote w:type="continuationSeparator" w:id="0">
    <w:p w:rsidR="0090551F" w:rsidRDefault="00905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1D4"/>
    <w:multiLevelType w:val="hybridMultilevel"/>
    <w:tmpl w:val="CB46EF3C"/>
    <w:lvl w:ilvl="0" w:tplc="3228A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97438"/>
    <w:multiLevelType w:val="hybridMultilevel"/>
    <w:tmpl w:val="9B12A40E"/>
    <w:lvl w:ilvl="0" w:tplc="0346D7E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
    <w:nsid w:val="1838485F"/>
    <w:multiLevelType w:val="hybridMultilevel"/>
    <w:tmpl w:val="4B3CD0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BF00D32"/>
    <w:multiLevelType w:val="hybridMultilevel"/>
    <w:tmpl w:val="F064C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932192"/>
    <w:multiLevelType w:val="hybridMultilevel"/>
    <w:tmpl w:val="3CA8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5001F6"/>
    <w:multiLevelType w:val="hybridMultilevel"/>
    <w:tmpl w:val="4D983E96"/>
    <w:lvl w:ilvl="0" w:tplc="B2701440">
      <w:start w:val="3"/>
      <w:numFmt w:val="bullet"/>
      <w:lvlText w:val="-"/>
      <w:lvlJc w:val="left"/>
      <w:pPr>
        <w:ind w:left="1003" w:hanging="360"/>
      </w:pPr>
      <w:rPr>
        <w:rFonts w:ascii="Times New Roman" w:eastAsia="Calibri" w:hAnsi="Times New Roman" w:cs="Times New Roman"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6">
    <w:nsid w:val="681374C6"/>
    <w:multiLevelType w:val="hybridMultilevel"/>
    <w:tmpl w:val="3C1C8996"/>
    <w:lvl w:ilvl="0" w:tplc="3228A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2700E9"/>
    <w:multiLevelType w:val="hybridMultilevel"/>
    <w:tmpl w:val="4AAE874A"/>
    <w:lvl w:ilvl="0" w:tplc="DD04A68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3C2C56"/>
    <w:rsid w:val="00005168"/>
    <w:rsid w:val="00016055"/>
    <w:rsid w:val="00026508"/>
    <w:rsid w:val="000441EB"/>
    <w:rsid w:val="000A693D"/>
    <w:rsid w:val="000B4DF1"/>
    <w:rsid w:val="000C1DC7"/>
    <w:rsid w:val="000D4783"/>
    <w:rsid w:val="000E69EE"/>
    <w:rsid w:val="000E7FF6"/>
    <w:rsid w:val="00166A49"/>
    <w:rsid w:val="00166A75"/>
    <w:rsid w:val="001937A8"/>
    <w:rsid w:val="001A4303"/>
    <w:rsid w:val="001B5F55"/>
    <w:rsid w:val="001C4970"/>
    <w:rsid w:val="001C4A4E"/>
    <w:rsid w:val="0020792B"/>
    <w:rsid w:val="00221023"/>
    <w:rsid w:val="00236EC9"/>
    <w:rsid w:val="00257641"/>
    <w:rsid w:val="00270A0E"/>
    <w:rsid w:val="00286D47"/>
    <w:rsid w:val="00293BED"/>
    <w:rsid w:val="002A69B3"/>
    <w:rsid w:val="002B2FA4"/>
    <w:rsid w:val="002E5C9B"/>
    <w:rsid w:val="002E5CB7"/>
    <w:rsid w:val="00327BD6"/>
    <w:rsid w:val="00357C3B"/>
    <w:rsid w:val="00372336"/>
    <w:rsid w:val="00395935"/>
    <w:rsid w:val="003A198A"/>
    <w:rsid w:val="003A2721"/>
    <w:rsid w:val="003C2C56"/>
    <w:rsid w:val="003C478C"/>
    <w:rsid w:val="003C7A42"/>
    <w:rsid w:val="003E0E1E"/>
    <w:rsid w:val="003F4C06"/>
    <w:rsid w:val="00401854"/>
    <w:rsid w:val="0045082A"/>
    <w:rsid w:val="004917E8"/>
    <w:rsid w:val="004A369F"/>
    <w:rsid w:val="004B5259"/>
    <w:rsid w:val="004C7623"/>
    <w:rsid w:val="004C76ED"/>
    <w:rsid w:val="004D3474"/>
    <w:rsid w:val="004F5EB3"/>
    <w:rsid w:val="00502AF4"/>
    <w:rsid w:val="00532317"/>
    <w:rsid w:val="005464EA"/>
    <w:rsid w:val="005553B1"/>
    <w:rsid w:val="005736F8"/>
    <w:rsid w:val="00583156"/>
    <w:rsid w:val="005B3D0B"/>
    <w:rsid w:val="005D7268"/>
    <w:rsid w:val="005E3197"/>
    <w:rsid w:val="005E7873"/>
    <w:rsid w:val="00605EB6"/>
    <w:rsid w:val="006246BE"/>
    <w:rsid w:val="00627AAF"/>
    <w:rsid w:val="00651362"/>
    <w:rsid w:val="0066489E"/>
    <w:rsid w:val="00665A03"/>
    <w:rsid w:val="00671A96"/>
    <w:rsid w:val="00681FF1"/>
    <w:rsid w:val="006974E5"/>
    <w:rsid w:val="006B785B"/>
    <w:rsid w:val="006C7C4B"/>
    <w:rsid w:val="0070129D"/>
    <w:rsid w:val="00712FDE"/>
    <w:rsid w:val="00774A30"/>
    <w:rsid w:val="00790653"/>
    <w:rsid w:val="007959BA"/>
    <w:rsid w:val="007A09FB"/>
    <w:rsid w:val="007A681C"/>
    <w:rsid w:val="007B0785"/>
    <w:rsid w:val="007D79EE"/>
    <w:rsid w:val="00811797"/>
    <w:rsid w:val="00823148"/>
    <w:rsid w:val="008232C8"/>
    <w:rsid w:val="00845FF0"/>
    <w:rsid w:val="008542AA"/>
    <w:rsid w:val="0086585F"/>
    <w:rsid w:val="008A0806"/>
    <w:rsid w:val="008C0511"/>
    <w:rsid w:val="008C0ADC"/>
    <w:rsid w:val="008E57E9"/>
    <w:rsid w:val="0090551F"/>
    <w:rsid w:val="00931EA0"/>
    <w:rsid w:val="0093289E"/>
    <w:rsid w:val="00935015"/>
    <w:rsid w:val="00944DC5"/>
    <w:rsid w:val="00966BE4"/>
    <w:rsid w:val="0097316A"/>
    <w:rsid w:val="00990208"/>
    <w:rsid w:val="0099364A"/>
    <w:rsid w:val="009959CE"/>
    <w:rsid w:val="00996405"/>
    <w:rsid w:val="009C3DFC"/>
    <w:rsid w:val="009D7C61"/>
    <w:rsid w:val="00A027AC"/>
    <w:rsid w:val="00A472F8"/>
    <w:rsid w:val="00A67D1D"/>
    <w:rsid w:val="00A8687E"/>
    <w:rsid w:val="00AB1D1D"/>
    <w:rsid w:val="00AD1060"/>
    <w:rsid w:val="00AD32D6"/>
    <w:rsid w:val="00AE440B"/>
    <w:rsid w:val="00B1360F"/>
    <w:rsid w:val="00B356C4"/>
    <w:rsid w:val="00B40ECB"/>
    <w:rsid w:val="00B438F9"/>
    <w:rsid w:val="00B50AF7"/>
    <w:rsid w:val="00B63B8C"/>
    <w:rsid w:val="00B66197"/>
    <w:rsid w:val="00B7418F"/>
    <w:rsid w:val="00B85078"/>
    <w:rsid w:val="00B86021"/>
    <w:rsid w:val="00C506AB"/>
    <w:rsid w:val="00C52A85"/>
    <w:rsid w:val="00C7256F"/>
    <w:rsid w:val="00C7470D"/>
    <w:rsid w:val="00C95675"/>
    <w:rsid w:val="00CE2595"/>
    <w:rsid w:val="00CF0A70"/>
    <w:rsid w:val="00CF66F3"/>
    <w:rsid w:val="00D203AC"/>
    <w:rsid w:val="00D31192"/>
    <w:rsid w:val="00D43A4A"/>
    <w:rsid w:val="00D52F48"/>
    <w:rsid w:val="00D53CF0"/>
    <w:rsid w:val="00D53D60"/>
    <w:rsid w:val="00D571A6"/>
    <w:rsid w:val="00D62C4E"/>
    <w:rsid w:val="00D76E5F"/>
    <w:rsid w:val="00D904BF"/>
    <w:rsid w:val="00D949BE"/>
    <w:rsid w:val="00D95121"/>
    <w:rsid w:val="00DA030E"/>
    <w:rsid w:val="00DB2FCA"/>
    <w:rsid w:val="00DB32AB"/>
    <w:rsid w:val="00DB5A51"/>
    <w:rsid w:val="00DC033B"/>
    <w:rsid w:val="00E27478"/>
    <w:rsid w:val="00E4003C"/>
    <w:rsid w:val="00E842E4"/>
    <w:rsid w:val="00EA7D20"/>
    <w:rsid w:val="00EB12CD"/>
    <w:rsid w:val="00ED5672"/>
    <w:rsid w:val="00EE7D1A"/>
    <w:rsid w:val="00F1751F"/>
    <w:rsid w:val="00F178C3"/>
    <w:rsid w:val="00F5025C"/>
    <w:rsid w:val="00F574BB"/>
    <w:rsid w:val="00F66737"/>
    <w:rsid w:val="00F86B4C"/>
    <w:rsid w:val="00FA106C"/>
    <w:rsid w:val="00FC03BB"/>
    <w:rsid w:val="00FC44A2"/>
    <w:rsid w:val="00FC4F3E"/>
    <w:rsid w:val="00FC570D"/>
    <w:rsid w:val="00FD1F3F"/>
    <w:rsid w:val="00FF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56"/>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C2C56"/>
    <w:rPr>
      <w:rFonts w:ascii="Times New Roman" w:eastAsia="Times New Roman" w:hAnsi="Times New Roman"/>
      <w:sz w:val="24"/>
      <w:szCs w:val="24"/>
      <w:lang w:val="uk-UA"/>
    </w:rPr>
  </w:style>
  <w:style w:type="paragraph" w:styleId="a3">
    <w:name w:val="List Paragraph"/>
    <w:basedOn w:val="a"/>
    <w:uiPriority w:val="34"/>
    <w:qFormat/>
    <w:rsid w:val="003C2C56"/>
    <w:pPr>
      <w:ind w:left="720"/>
      <w:contextualSpacing/>
    </w:pPr>
  </w:style>
  <w:style w:type="paragraph" w:styleId="a4">
    <w:name w:val="footer"/>
    <w:basedOn w:val="a"/>
    <w:link w:val="a5"/>
    <w:uiPriority w:val="99"/>
    <w:unhideWhenUsed/>
    <w:rsid w:val="003C2C56"/>
    <w:pPr>
      <w:tabs>
        <w:tab w:val="center" w:pos="4677"/>
        <w:tab w:val="right" w:pos="9355"/>
      </w:tabs>
    </w:pPr>
  </w:style>
  <w:style w:type="character" w:customStyle="1" w:styleId="a5">
    <w:name w:val="Нижний колонтитул Знак"/>
    <w:link w:val="a4"/>
    <w:uiPriority w:val="99"/>
    <w:rsid w:val="003C2C56"/>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0C1DC7"/>
    <w:rPr>
      <w:rFonts w:ascii="Segoe UI" w:hAnsi="Segoe UI"/>
      <w:sz w:val="18"/>
      <w:szCs w:val="18"/>
    </w:rPr>
  </w:style>
  <w:style w:type="character" w:customStyle="1" w:styleId="a7">
    <w:name w:val="Текст выноски Знак"/>
    <w:link w:val="a6"/>
    <w:uiPriority w:val="99"/>
    <w:semiHidden/>
    <w:rsid w:val="000C1DC7"/>
    <w:rPr>
      <w:rFonts w:ascii="Segoe UI" w:eastAsia="Times New Roman" w:hAnsi="Segoe UI" w:cs="Segoe UI"/>
      <w:sz w:val="18"/>
      <w:szCs w:val="18"/>
      <w:lang w:val="uk-UA" w:eastAsia="ru-RU"/>
    </w:rPr>
  </w:style>
  <w:style w:type="paragraph" w:customStyle="1" w:styleId="a8">
    <w:name w:val="Обычный (Интернет)"/>
    <w:basedOn w:val="a"/>
    <w:uiPriority w:val="99"/>
    <w:unhideWhenUsed/>
    <w:rsid w:val="00EA7D20"/>
    <w:pPr>
      <w:spacing w:before="100" w:beforeAutospacing="1" w:after="100" w:afterAutospacing="1"/>
    </w:pPr>
    <w:rPr>
      <w:lang w:val="ru-RU"/>
    </w:rPr>
  </w:style>
  <w:style w:type="paragraph" w:styleId="a9">
    <w:name w:val="header"/>
    <w:basedOn w:val="a"/>
    <w:link w:val="aa"/>
    <w:uiPriority w:val="99"/>
    <w:unhideWhenUsed/>
    <w:rsid w:val="007B0785"/>
    <w:pPr>
      <w:tabs>
        <w:tab w:val="center" w:pos="4677"/>
        <w:tab w:val="right" w:pos="9355"/>
      </w:tabs>
    </w:pPr>
  </w:style>
  <w:style w:type="character" w:customStyle="1" w:styleId="aa">
    <w:name w:val="Верхний колонтитул Знак"/>
    <w:link w:val="a9"/>
    <w:uiPriority w:val="99"/>
    <w:rsid w:val="007B0785"/>
    <w:rPr>
      <w:rFonts w:ascii="Times New Roman" w:eastAsia="Times New Roman" w:hAnsi="Times New Roman"/>
      <w:sz w:val="24"/>
      <w:szCs w:val="24"/>
    </w:rPr>
  </w:style>
  <w:style w:type="paragraph" w:customStyle="1" w:styleId="Style">
    <w:name w:val="Style"/>
    <w:rsid w:val="009959CE"/>
    <w:pPr>
      <w:widowControl w:val="0"/>
      <w:autoSpaceDE w:val="0"/>
      <w:autoSpaceDN w:val="0"/>
      <w:adjustRightInd w:val="0"/>
    </w:pPr>
    <w:rPr>
      <w:rFonts w:ascii="Times New Roman" w:eastAsia="Times New Roman" w:hAnsi="Times New Roman"/>
      <w:sz w:val="24"/>
      <w:szCs w:val="24"/>
    </w:rPr>
  </w:style>
  <w:style w:type="character" w:styleId="ab">
    <w:name w:val="Hyperlink"/>
    <w:rsid w:val="009959CE"/>
    <w:rPr>
      <w:color w:val="0000FF"/>
      <w:u w:val="single"/>
    </w:rPr>
  </w:style>
  <w:style w:type="paragraph" w:customStyle="1" w:styleId="rvps2">
    <w:name w:val="rvps2"/>
    <w:basedOn w:val="a"/>
    <w:rsid w:val="009959CE"/>
    <w:pPr>
      <w:spacing w:before="100" w:beforeAutospacing="1" w:after="100" w:afterAutospacing="1"/>
    </w:pPr>
    <w:rPr>
      <w:lang w:val="ru-RU"/>
    </w:rPr>
  </w:style>
  <w:style w:type="character" w:styleId="ac">
    <w:name w:val="Emphasis"/>
    <w:qFormat/>
    <w:rsid w:val="006974E5"/>
    <w:rPr>
      <w:i/>
      <w:iCs/>
    </w:rPr>
  </w:style>
  <w:style w:type="paragraph" w:styleId="ad">
    <w:name w:val="Plain Text"/>
    <w:basedOn w:val="a"/>
    <w:rsid w:val="003E0E1E"/>
    <w:rPr>
      <w:rFonts w:ascii="Courier New" w:hAnsi="Courier New" w:cs="Courier New"/>
      <w:sz w:val="20"/>
      <w:szCs w:val="20"/>
      <w:lang w:val="ru-RU"/>
    </w:rPr>
  </w:style>
  <w:style w:type="character" w:customStyle="1" w:styleId="rvts0">
    <w:name w:val="rvts0"/>
    <w:basedOn w:val="a0"/>
    <w:rsid w:val="003E0E1E"/>
  </w:style>
  <w:style w:type="character" w:customStyle="1" w:styleId="xfm63048876">
    <w:name w:val="xfm_63048876"/>
    <w:basedOn w:val="a0"/>
    <w:rsid w:val="004C7623"/>
  </w:style>
  <w:style w:type="paragraph" w:customStyle="1" w:styleId="ae">
    <w:name w:val="Абзац списку"/>
    <w:basedOn w:val="a"/>
    <w:qFormat/>
    <w:rsid w:val="004C7623"/>
    <w:pPr>
      <w:ind w:left="720"/>
      <w:contextualSpacing/>
    </w:pPr>
    <w:rPr>
      <w:lang w:eastAsia="uk-UA"/>
    </w:rPr>
  </w:style>
  <w:style w:type="paragraph" w:customStyle="1" w:styleId="Default">
    <w:name w:val="Default"/>
    <w:rsid w:val="004C7623"/>
    <w:pPr>
      <w:autoSpaceDE w:val="0"/>
      <w:autoSpaceDN w:val="0"/>
      <w:adjustRightInd w:val="0"/>
    </w:pPr>
    <w:rPr>
      <w:rFonts w:ascii="Times New Roman" w:eastAsia="Times New Roman" w:hAnsi="Times New Roman"/>
      <w:color w:val="000000"/>
      <w:sz w:val="24"/>
      <w:szCs w:val="24"/>
    </w:rPr>
  </w:style>
  <w:style w:type="character" w:customStyle="1" w:styleId="xfm42357889">
    <w:name w:val="xfm_42357889"/>
    <w:basedOn w:val="a0"/>
    <w:rsid w:val="004C7623"/>
  </w:style>
  <w:style w:type="character" w:customStyle="1" w:styleId="xfm39478944">
    <w:name w:val="xfm_39478944"/>
    <w:basedOn w:val="a0"/>
    <w:rsid w:val="003F4C06"/>
  </w:style>
  <w:style w:type="character" w:styleId="af">
    <w:name w:val="annotation reference"/>
    <w:uiPriority w:val="99"/>
    <w:semiHidden/>
    <w:unhideWhenUsed/>
    <w:rsid w:val="00257641"/>
    <w:rPr>
      <w:sz w:val="16"/>
      <w:szCs w:val="16"/>
    </w:rPr>
  </w:style>
  <w:style w:type="paragraph" w:styleId="af0">
    <w:name w:val="annotation text"/>
    <w:basedOn w:val="a"/>
    <w:link w:val="af1"/>
    <w:uiPriority w:val="99"/>
    <w:semiHidden/>
    <w:unhideWhenUsed/>
    <w:rsid w:val="00257641"/>
    <w:rPr>
      <w:sz w:val="20"/>
      <w:szCs w:val="20"/>
    </w:rPr>
  </w:style>
  <w:style w:type="character" w:customStyle="1" w:styleId="af1">
    <w:name w:val="Текст примечания Знак"/>
    <w:link w:val="af0"/>
    <w:uiPriority w:val="99"/>
    <w:semiHidden/>
    <w:rsid w:val="00257641"/>
    <w:rPr>
      <w:rFonts w:ascii="Times New Roman" w:eastAsia="Times New Roman" w:hAnsi="Times New Roman"/>
      <w:lang w:val="uk-UA"/>
    </w:rPr>
  </w:style>
  <w:style w:type="paragraph" w:styleId="af2">
    <w:name w:val="annotation subject"/>
    <w:basedOn w:val="af0"/>
    <w:next w:val="af0"/>
    <w:link w:val="af3"/>
    <w:uiPriority w:val="99"/>
    <w:semiHidden/>
    <w:unhideWhenUsed/>
    <w:rsid w:val="00257641"/>
    <w:rPr>
      <w:b/>
      <w:bCs/>
    </w:rPr>
  </w:style>
  <w:style w:type="character" w:customStyle="1" w:styleId="af3">
    <w:name w:val="Тема примечания Знак"/>
    <w:link w:val="af2"/>
    <w:uiPriority w:val="99"/>
    <w:semiHidden/>
    <w:rsid w:val="00257641"/>
    <w:rPr>
      <w:rFonts w:ascii="Times New Roman" w:eastAsia="Times New Roman" w:hAnsi="Times New Roman"/>
      <w:b/>
      <w:bCs/>
      <w:lang w:val="uk-UA"/>
    </w:rPr>
  </w:style>
  <w:style w:type="paragraph" w:customStyle="1" w:styleId="af4">
    <w:basedOn w:val="a"/>
    <w:next w:val="a8"/>
    <w:uiPriority w:val="99"/>
    <w:unhideWhenUsed/>
    <w:rsid w:val="004B5259"/>
    <w:pPr>
      <w:spacing w:before="100" w:beforeAutospacing="1" w:after="100" w:afterAutospacing="1"/>
    </w:pPr>
    <w:rPr>
      <w:lang w:val="ru-RU"/>
    </w:rPr>
  </w:style>
  <w:style w:type="character" w:customStyle="1" w:styleId="xfm87739929">
    <w:name w:val="xfm_87739929"/>
    <w:basedOn w:val="a0"/>
    <w:rsid w:val="00236EC9"/>
  </w:style>
</w:styles>
</file>

<file path=word/webSettings.xml><?xml version="1.0" encoding="utf-8"?>
<w:webSettings xmlns:r="http://schemas.openxmlformats.org/officeDocument/2006/relationships" xmlns:w="http://schemas.openxmlformats.org/wordprocessingml/2006/main">
  <w:divs>
    <w:div w:id="2579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print" TargetMode="External"/><Relationship Id="rId3" Type="http://schemas.openxmlformats.org/officeDocument/2006/relationships/settings" Target="settings.xml"/><Relationship Id="rId7" Type="http://schemas.openxmlformats.org/officeDocument/2006/relationships/hyperlink" Target="http://www.roe.vsei.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514-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19129</CharactersWithSpaces>
  <SharedDoc>false</SharedDoc>
  <HLinks>
    <vt:vector size="18" baseType="variant">
      <vt:variant>
        <vt:i4>1441878</vt:i4>
      </vt:variant>
      <vt:variant>
        <vt:i4>6</vt:i4>
      </vt:variant>
      <vt:variant>
        <vt:i4>0</vt:i4>
      </vt:variant>
      <vt:variant>
        <vt:i4>5</vt:i4>
      </vt:variant>
      <vt:variant>
        <vt:lpwstr>https://zakon.rada.gov.ua/laws/show/514-17/print</vt:lpwstr>
      </vt:variant>
      <vt:variant>
        <vt:lpwstr>n972</vt:lpwstr>
      </vt:variant>
      <vt:variant>
        <vt:i4>1179732</vt:i4>
      </vt:variant>
      <vt:variant>
        <vt:i4>3</vt:i4>
      </vt:variant>
      <vt:variant>
        <vt:i4>0</vt:i4>
      </vt:variant>
      <vt:variant>
        <vt:i4>5</vt:i4>
      </vt:variant>
      <vt:variant>
        <vt:lpwstr>https://zakon.rada.gov.ua/laws/show/514-17/print</vt:lpwstr>
      </vt:variant>
      <vt:variant>
        <vt:lpwstr>n956</vt:lpwstr>
      </vt:variant>
      <vt:variant>
        <vt:i4>5439501</vt:i4>
      </vt:variant>
      <vt:variant>
        <vt:i4>0</vt:i4>
      </vt:variant>
      <vt:variant>
        <vt:i4>0</vt:i4>
      </vt:variant>
      <vt:variant>
        <vt:i4>5</vt:i4>
      </vt:variant>
      <vt:variant>
        <vt:lpwstr>tel:+380412402085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Olena Bilyk</dc:creator>
  <cp:lastModifiedBy>Inna.Korytska</cp:lastModifiedBy>
  <cp:revision>51</cp:revision>
  <cp:lastPrinted>2020-12-29T14:17:00Z</cp:lastPrinted>
  <dcterms:created xsi:type="dcterms:W3CDTF">2020-12-18T09:09:00Z</dcterms:created>
  <dcterms:modified xsi:type="dcterms:W3CDTF">2021-01-04T09:41:00Z</dcterms:modified>
</cp:coreProperties>
</file>