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BC" w:rsidRDefault="008905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Протокол про результати голосування</w:t>
      </w:r>
    </w:p>
    <w:p w:rsidR="00D06FBC" w:rsidRDefault="008905B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Pr="008905B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aa-ET"/>
        </w:rPr>
        <w:t xml:space="preserve">зборах </w:t>
      </w:r>
      <w:r>
        <w:rPr>
          <w:rFonts w:ascii="Times New Roman" w:hAnsi="Times New Roman"/>
          <w:sz w:val="24"/>
        </w:rPr>
        <w:t>власників облігацій емітента</w:t>
      </w:r>
    </w:p>
    <w:p w:rsidR="00D06FBC" w:rsidRDefault="008905B9">
      <w:pPr>
        <w:spacing w:after="0"/>
        <w:jc w:val="center"/>
        <w:rPr>
          <w:rFonts w:ascii="Times New Roman" w:hAnsi="Times New Roman"/>
          <w:i/>
          <w:sz w:val="24"/>
          <w:lang w:val="ru-RU"/>
        </w:rPr>
      </w:pPr>
      <w:bookmarkStart w:id="0" w:name="_Hlk71659140"/>
      <w:proofErr w:type="spellStart"/>
      <w:r>
        <w:rPr>
          <w:rFonts w:ascii="Times New Roman" w:hAnsi="Times New Roman"/>
          <w:i/>
          <w:sz w:val="24"/>
          <w:lang w:val="ru-RU"/>
        </w:rPr>
        <w:t>Товариство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з </w:t>
      </w:r>
      <w:proofErr w:type="spellStart"/>
      <w:r>
        <w:rPr>
          <w:rFonts w:ascii="Times New Roman" w:hAnsi="Times New Roman"/>
          <w:i/>
          <w:sz w:val="24"/>
          <w:lang w:val="ru-RU"/>
        </w:rPr>
        <w:t>обмеженою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відповідальністю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"ВЕОН ПЛЮС"</w:t>
      </w:r>
    </w:p>
    <w:p w:rsidR="00D06FBC" w:rsidRDefault="008905B9">
      <w:pPr>
        <w:spacing w:after="0"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(код за ЄДРПОУ </w:t>
      </w:r>
      <w:r>
        <w:rPr>
          <w:rFonts w:ascii="Times New Roman" w:hAnsi="Times New Roman"/>
          <w:i/>
          <w:sz w:val="24"/>
          <w:lang w:val="ru-RU"/>
        </w:rPr>
        <w:t xml:space="preserve">34619544), </w:t>
      </w:r>
      <w:proofErr w:type="spellStart"/>
      <w:r>
        <w:rPr>
          <w:rFonts w:ascii="Times New Roman" w:hAnsi="Times New Roman"/>
          <w:i/>
          <w:sz w:val="24"/>
          <w:lang w:val="ru-RU"/>
        </w:rPr>
        <w:t>які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проведено через </w:t>
      </w:r>
      <w:proofErr w:type="spellStart"/>
      <w:r>
        <w:rPr>
          <w:rFonts w:ascii="Times New Roman" w:hAnsi="Times New Roman"/>
          <w:i/>
          <w:sz w:val="24"/>
          <w:lang w:val="ru-RU"/>
        </w:rPr>
        <w:t>авторизовану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електронну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</w:p>
    <w:p w:rsidR="00D06FBC" w:rsidRDefault="008905B9">
      <w:pPr>
        <w:spacing w:after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систему</w:t>
      </w:r>
    </w:p>
    <w:p w:rsidR="00D06FBC" w:rsidRDefault="00D06FBC">
      <w:pPr>
        <w:spacing w:after="0"/>
        <w:jc w:val="center"/>
        <w:rPr>
          <w:rFonts w:ascii="Times New Roman" w:hAnsi="Times New Roman"/>
          <w:sz w:val="24"/>
          <w:lang w:val="en-US"/>
        </w:rPr>
      </w:pPr>
    </w:p>
    <w:bookmarkEnd w:id="0"/>
    <w:p w:rsidR="00D06FBC" w:rsidRDefault="00D06FBC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проведення зборів: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06.01.2023</w:t>
            </w:r>
          </w:p>
        </w:tc>
      </w:tr>
      <w:tr w:rsidR="00D06FBC">
        <w:tc>
          <w:tcPr>
            <w:tcW w:w="5103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</w:t>
            </w:r>
            <w:r>
              <w:rPr>
                <w:rFonts w:ascii="Times New Roman" w:hAnsi="Times New Roman"/>
                <w:sz w:val="24"/>
              </w:rPr>
              <w:t xml:space="preserve"> час початку реєстрації: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06.01.2023 10:00</w:t>
            </w: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закінчення реєстрації: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06.01.2023 12:00</w:t>
            </w:r>
          </w:p>
        </w:tc>
      </w:tr>
      <w:tr w:rsidR="00D06FBC">
        <w:tc>
          <w:tcPr>
            <w:tcW w:w="5103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 w:rsidR="00D06FBC" w:rsidRDefault="00D06FBC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початку голосування: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06.01.2023 13:00</w:t>
            </w: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закінчення голосування: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06.01.2023 16:00</w:t>
            </w:r>
          </w:p>
        </w:tc>
      </w:tr>
      <w:tr w:rsidR="00D06FBC">
        <w:tc>
          <w:tcPr>
            <w:tcW w:w="5103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 w:rsidR="00D06FBC" w:rsidRDefault="00D06FBC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та час формування авторизованою електронною </w:t>
            </w:r>
            <w:r>
              <w:rPr>
                <w:rFonts w:ascii="Times New Roman" w:hAnsi="Times New Roman"/>
                <w:sz w:val="24"/>
              </w:rPr>
              <w:t>системою Протоколу про результати голосування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06.01.2023 16:00:08</w:t>
            </w:r>
          </w:p>
        </w:tc>
      </w:tr>
      <w:tr w:rsidR="00D06FBC">
        <w:tc>
          <w:tcPr>
            <w:tcW w:w="5103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зборів:</w:t>
            </w:r>
          </w:p>
        </w:tc>
        <w:tc>
          <w:tcPr>
            <w:tcW w:w="4526" w:type="dxa"/>
          </w:tcPr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збори власників облігацій випуску</w:t>
            </w:r>
            <w:r w:rsidRPr="008905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UA4000186035, емітентом яких є Товариство з обмеженою відповідальністю "ВЕОН ПЛЮС", код за ЄДРПОУ емітента: 34619544</w:t>
            </w:r>
          </w:p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36"/>
        <w:gridCol w:w="4503"/>
      </w:tblGrid>
      <w:tr w:rsidR="00D06FBC">
        <w:tc>
          <w:tcPr>
            <w:tcW w:w="5136" w:type="dxa"/>
            <w:hideMark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Інформація щодо випуску облігацій UA4000186035:</w:t>
            </w:r>
          </w:p>
        </w:tc>
        <w:tc>
          <w:tcPr>
            <w:tcW w:w="4503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ТОВ "ВЕОН ПЛЮС",  серія A, загальна кількість ЦП у випуску: 424 200, номінальна вартість 1 ЦП: 1 000.00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UAH</w:t>
            </w: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</w:p>
        </w:tc>
      </w:tr>
      <w:tr w:rsidR="00D06FBC">
        <w:tc>
          <w:tcPr>
            <w:tcW w:w="5136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>Дата складення переліку власників облігацій, які мають право на участь у зборах за випуском облі</w:t>
            </w:r>
            <w:r>
              <w:rPr>
                <w:rFonts w:ascii="Times New Roman" w:hAnsi="Times New Roman"/>
                <w:sz w:val="24"/>
              </w:rPr>
              <w:t>гацій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UA4000186035</w:t>
            </w:r>
          </w:p>
        </w:tc>
        <w:tc>
          <w:tcPr>
            <w:tcW w:w="4503" w:type="dxa"/>
            <w:vAlign w:val="center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станом на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03.01.2023</w:t>
            </w:r>
          </w:p>
        </w:tc>
      </w:tr>
      <w:tr w:rsidR="00D06FBC">
        <w:tc>
          <w:tcPr>
            <w:tcW w:w="5136" w:type="dxa"/>
          </w:tcPr>
          <w:p w:rsidR="00D06FBC" w:rsidRDefault="008905B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Загальна кількість осіб, включених до переліку власників облігацій, які мають право на участь у зборах за випуском облігацій </w:t>
            </w:r>
            <w:r>
              <w:rPr>
                <w:rFonts w:ascii="Times New Roman" w:hAnsi="Times New Roman"/>
                <w:sz w:val="24"/>
                <w:lang w:val="ru-RU"/>
              </w:rPr>
              <w:t>UA4000186035</w:t>
            </w:r>
          </w:p>
        </w:tc>
        <w:tc>
          <w:tcPr>
            <w:tcW w:w="4503" w:type="dxa"/>
            <w:vAlign w:val="center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4</w:t>
            </w:r>
          </w:p>
        </w:tc>
      </w:tr>
      <w:tr w:rsidR="00D06FBC">
        <w:tc>
          <w:tcPr>
            <w:tcW w:w="5136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Загальна кількості голосів за випуском облігацій UA4000186035</w:t>
            </w:r>
          </w:p>
        </w:tc>
        <w:tc>
          <w:tcPr>
            <w:tcW w:w="4503" w:type="dxa"/>
            <w:vAlign w:val="center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245 339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000</w:t>
            </w:r>
          </w:p>
        </w:tc>
      </w:tr>
      <w:tr w:rsidR="00D06FBC">
        <w:tc>
          <w:tcPr>
            <w:tcW w:w="5136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Загальна кількість голосів власників облігацій, які зареєструвалися для участі у зборах за випуском облігацій </w:t>
            </w:r>
            <w:r>
              <w:rPr>
                <w:rFonts w:ascii="Times New Roman" w:hAnsi="Times New Roman"/>
                <w:sz w:val="24"/>
                <w:lang w:val="ru-RU"/>
              </w:rPr>
              <w:t>UA4000186035</w:t>
            </w:r>
          </w:p>
        </w:tc>
        <w:tc>
          <w:tcPr>
            <w:tcW w:w="4503" w:type="dxa"/>
            <w:vAlign w:val="center"/>
          </w:tcPr>
          <w:p w:rsidR="00D06FBC" w:rsidRDefault="008905B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201 027 000</w:t>
            </w:r>
          </w:p>
        </w:tc>
      </w:tr>
      <w:tr w:rsidR="00D06FBC">
        <w:tc>
          <w:tcPr>
            <w:tcW w:w="5136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Кворум</w:t>
            </w:r>
          </w:p>
        </w:tc>
        <w:tc>
          <w:tcPr>
            <w:tcW w:w="4503" w:type="dxa"/>
            <w:vAlign w:val="center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є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Особа, відповідальна за проведення зборів</w:t>
            </w: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</w:rPr>
            </w:pPr>
            <w:r w:rsidRPr="008905B9">
              <w:rPr>
                <w:rFonts w:ascii="Times New Roman" w:hAnsi="Times New Roman"/>
                <w:i/>
                <w:sz w:val="24"/>
                <w:lang w:val="ru-RU"/>
              </w:rPr>
              <w:t xml:space="preserve">ПАТ "НДУ",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код</w:t>
            </w:r>
            <w:r w:rsidRPr="008905B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за</w:t>
            </w:r>
            <w:r w:rsidRPr="008905B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ЄДРПОУ</w:t>
            </w:r>
            <w:r w:rsidRPr="008905B9">
              <w:rPr>
                <w:rFonts w:ascii="Times New Roman" w:hAnsi="Times New Roman"/>
                <w:i/>
                <w:sz w:val="24"/>
                <w:lang w:val="ru-RU"/>
              </w:rPr>
              <w:t>: 30370711</w:t>
            </w:r>
          </w:p>
        </w:tc>
      </w:tr>
      <w:tr w:rsidR="00D06FBC">
        <w:tc>
          <w:tcPr>
            <w:tcW w:w="5103" w:type="dxa"/>
          </w:tcPr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Особа (особи) </w:t>
            </w:r>
            <w:r>
              <w:rPr>
                <w:rFonts w:ascii="Times New Roman" w:hAnsi="Times New Roman"/>
                <w:sz w:val="24"/>
              </w:rPr>
              <w:t>уповноважена взаємодіяти з авторизованою електронною системою</w:t>
            </w:r>
          </w:p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 w:rsidR="00D06FBC" w:rsidRDefault="008905B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Сапанчук Світлана</w:t>
            </w:r>
          </w:p>
          <w:p w:rsidR="008905B9" w:rsidRPr="008905B9" w:rsidRDefault="008905B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Яремійчук Іванна</w:t>
            </w:r>
            <w:bookmarkStart w:id="1" w:name="_GoBack"/>
            <w:bookmarkEnd w:id="1"/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  <w:lang w:val="en-US"/>
        </w:rPr>
      </w:pPr>
    </w:p>
    <w:tbl>
      <w:tblPr>
        <w:tblStyle w:val="ac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23"/>
        <w:gridCol w:w="8206"/>
      </w:tblGrid>
      <w:tr w:rsidR="00D06FBC">
        <w:tc>
          <w:tcPr>
            <w:tcW w:w="9629" w:type="dxa"/>
            <w:gridSpan w:val="2"/>
            <w:hideMark/>
          </w:tcPr>
          <w:p w:rsidR="00D06FBC" w:rsidRDefault="008905B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Порядок денний зборів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власників облігацій:</w:t>
            </w:r>
          </w:p>
        </w:tc>
      </w:tr>
      <w:tr w:rsidR="00D06FBC">
        <w:tc>
          <w:tcPr>
            <w:tcW w:w="1423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206" w:type="dxa"/>
          </w:tcPr>
          <w:p w:rsidR="00D06FBC" w:rsidRDefault="008905B9">
            <w:pPr>
              <w:spacing w:before="240" w:after="240"/>
            </w:pPr>
            <w:r>
              <w:t xml:space="preserve">Надання згоди власниками облігацій на внесення емітентом змін до проспекту емісії щодо продовження строку обігу та погашення, </w:t>
            </w:r>
            <w:r>
              <w:t>емітованих Товариством корпоративних облігацій (звичайних (незабезпечених)/дисконтних, серія «А», міжнародний ідентифікаційний код цінних паперів (ISIN) -UA4000186035), дата реєстрації випуску 04.08.2014, реєстраційний номер випуску 117/2/2014 відповідно д</w:t>
            </w:r>
            <w:r>
              <w:t>о проекту змін до проспекту емісії.</w:t>
            </w:r>
          </w:p>
          <w:p w:rsidR="00D06FBC" w:rsidRDefault="00D06FB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Pr="008905B9" w:rsidRDefault="00D06FBC">
      <w:pPr>
        <w:spacing w:after="0"/>
        <w:rPr>
          <w:rFonts w:ascii="Times New Roman" w:hAnsi="Times New Roman"/>
          <w:sz w:val="24"/>
          <w:lang w:val="ru-RU"/>
        </w:rPr>
      </w:pPr>
    </w:p>
    <w:p w:rsidR="00D06FBC" w:rsidRDefault="008905B9">
      <w:pPr>
        <w:ind w:firstLine="31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Підсумки голосування з питань порядку денного зборів власників облігацій:</w:t>
      </w: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Pr="008905B9" w:rsidRDefault="00D06FBC">
      <w:pPr>
        <w:spacing w:after="0"/>
        <w:rPr>
          <w:rFonts w:ascii="Times New Roman" w:hAnsi="Times New Roman"/>
          <w:sz w:val="24"/>
          <w:lang w:val="ru-RU"/>
        </w:rPr>
      </w:pPr>
    </w:p>
    <w:p w:rsidR="00D06FBC" w:rsidRPr="008905B9" w:rsidRDefault="00D06FBC">
      <w:pPr>
        <w:spacing w:after="0"/>
        <w:rPr>
          <w:rFonts w:ascii="Times New Roman" w:hAnsi="Times New Roman"/>
          <w:sz w:val="24"/>
          <w:lang w:val="ru-RU"/>
        </w:rPr>
      </w:pPr>
    </w:p>
    <w:tbl>
      <w:tblPr>
        <w:tblStyle w:val="ac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4"/>
      </w:tblGrid>
      <w:tr w:rsidR="00D06FBC">
        <w:tc>
          <w:tcPr>
            <w:tcW w:w="9634" w:type="dxa"/>
          </w:tcPr>
          <w:p w:rsidR="00D06FBC" w:rsidRDefault="008905B9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Питання: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</w:p>
        </w:tc>
      </w:tr>
      <w:tr w:rsidR="00D06FBC">
        <w:tc>
          <w:tcPr>
            <w:tcW w:w="9634" w:type="dxa"/>
          </w:tcPr>
          <w:p w:rsidR="00D06FBC" w:rsidRDefault="008905B9">
            <w:pPr>
              <w:spacing w:before="240" w:after="240"/>
            </w:pPr>
            <w:r>
              <w:t xml:space="preserve">Надання згоди власниками облігацій на внесення емітентом змін до проспекту емісії щодо продовження строку обігу та погашення, </w:t>
            </w:r>
            <w:r>
              <w:t>емітованих Товариством корпоративних облігацій (звичайних (незабезпечених)/дисконтних, серія «А», міжнародний ідентифікаційний код цінних паперів (ISIN) -UA4000186035), дата реєстрації випуску 04.08.2014, реєстраційний номер випуску 117/2/2014 відповідно д</w:t>
            </w:r>
            <w:r>
              <w:t>о проекту змін до проспекту емісії.</w:t>
            </w:r>
          </w:p>
          <w:p w:rsidR="00D06FBC" w:rsidRDefault="00D06FBC">
            <w:pPr>
              <w:rPr>
                <w:rFonts w:ascii="Times New Roman" w:hAnsi="Times New Roman"/>
                <w:sz w:val="24"/>
              </w:rPr>
            </w:pPr>
          </w:p>
          <w:p w:rsidR="00D06FBC" w:rsidRPr="008905B9" w:rsidRDefault="00D06FB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06FBC" w:rsidRPr="008905B9" w:rsidRDefault="00D06FBC">
      <w:pPr>
        <w:spacing w:after="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D06FBC">
        <w:tc>
          <w:tcPr>
            <w:tcW w:w="9629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рішення: 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6FBC">
        <w:tc>
          <w:tcPr>
            <w:tcW w:w="9629" w:type="dxa"/>
          </w:tcPr>
          <w:p w:rsidR="00D06FBC" w:rsidRDefault="008905B9">
            <w:pPr>
              <w:spacing w:before="240" w:after="240"/>
            </w:pPr>
            <w:r>
              <w:rPr>
                <w:b/>
              </w:rPr>
              <w:t>Рішення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Зборів власників облігацій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 xml:space="preserve">(звичайних (незабезпечених)/дисконтних, серія «А», міжнародний ідентифікаційний код цінних паперів (ISIN) -UA4000186035), дата реєстрації випуску 04.08.2014, </w:t>
            </w:r>
            <w:r>
              <w:rPr>
                <w:b/>
              </w:rPr>
              <w:t>реєстраційний номер випуску 117/2/2014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ТОВАРИСТВА З ОБМЕЖЕНОЮ ВІДПОВІДАЛЬНІСТЮ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«ВЕОН ПЛЮС» (надалі за текстом - «Товариство»)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t>м. Київ                                                                                                               дата______</w:t>
            </w:r>
            <w:r>
              <w:t>_______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ПРИСУТНІ: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</w:t>
            </w:r>
          </w:p>
          <w:p w:rsidR="00D06FBC" w:rsidRDefault="008905B9">
            <w:pPr>
              <w:spacing w:before="240" w:after="240"/>
            </w:pPr>
            <w:r>
              <w:t xml:space="preserve">Відповідно до ст. 109 Закону України «Про ринки капіталу та організовані </w:t>
            </w:r>
            <w:r>
              <w:t xml:space="preserve">товарні ринки», п. 1 Розділу 5 Положення про порядок здійснення емісії облігацій підприємств, облігацій міжнародних фінансових організацій та їх обігу, затвердженого Рішенням Національної комісії з цінних паперів та </w:t>
            </w:r>
            <w:r>
              <w:lastRenderedPageBreak/>
              <w:t>фондового ринку 27.12.2013  № 2998 та п.</w:t>
            </w:r>
            <w:r>
              <w:t xml:space="preserve"> 1 Розділу XV Порядку проведення зборів власників облігацій, затвердженого Рішенням Національної комісії з цінних паперів та фондового ринку від  24 грудня 2021 року № 1259, збори власників облігацій відповідного випуску уповноважені приймати рішення щодо </w:t>
            </w:r>
            <w:r>
              <w:t>надання згоди на внесення емітентом змін до проспекту щодо строків обігу та погашення облігацій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ПОРЯДОК ДЕННИЙ:</w:t>
            </w:r>
          </w:p>
          <w:p w:rsidR="00D06FBC" w:rsidRDefault="008905B9">
            <w:pPr>
              <w:numPr>
                <w:ilvl w:val="0"/>
                <w:numId w:val="1"/>
              </w:numPr>
            </w:pPr>
            <w:r>
              <w:t>Надання згоди власниками облігацій на внесення емітентом змін до проспекту емісії щодо продовження строку обігу та погашення, емітованих Товар</w:t>
            </w:r>
            <w:r>
              <w:t>иством корпоративних облігацій (звичайних (незабезпечених)/дисконтних, серія «А», міжнародний ідентифікаційний код цінних паперів (ISIN) -UA4000186035), дата реєстрації випуску 04.08.2014, реєстраційний номер випуску 117/2/2014 відповідно до проекту змін д</w:t>
            </w:r>
            <w:r>
              <w:t>о проспекту емісії (додається).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ВИРІШИЛИ З ПЕРШОГО ПИТАННЯ ПОРЯДКУ ДЕННОГО:</w:t>
            </w:r>
          </w:p>
          <w:p w:rsidR="00D06FBC" w:rsidRDefault="008905B9">
            <w:pPr>
              <w:spacing w:before="240" w:after="240"/>
            </w:pPr>
            <w:r>
              <w:t>Надати згоду щодо подовження строку обігу та погашення, емітованих Товариством корпоративних облігацій (звичайних (незабезпечених)/дисконтних, серія «А», міжнародний ідентифікаці</w:t>
            </w:r>
            <w:r>
              <w:t>йний код цінних паперів (ISIN) -UA4000186035), дата реєстрації випуску 04.08.2014, реєстраційний номер випуску 117/2/2014 на запропонованих емітентом умовах продовження строку обігу та погашення відповідно до проекту змін до проспекту емісії (додається).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t>Рішення з цього питання прийнято кількістю в три чверті голосів власників облігацій випуску.</w:t>
            </w:r>
          </w:p>
          <w:p w:rsidR="00D06FBC" w:rsidRDefault="008905B9">
            <w:pPr>
              <w:spacing w:before="240" w:after="240"/>
            </w:pPr>
            <w:r>
              <w:t>Підсумки голосування:</w:t>
            </w:r>
          </w:p>
          <w:tbl>
            <w:tblPr>
              <w:tblW w:w="0" w:type="auto"/>
              <w:tblCellSpacing w:w="15" w:type="dxa"/>
              <w:tblBorders>
                <w:insideH w:val="none" w:sz="0" w:space="0" w:color="000000"/>
                <w:insideV w:val="none" w:sz="0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720"/>
            </w:tblGrid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ЗА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ПРОТИ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 </w:t>
                  </w:r>
                </w:p>
              </w:tc>
            </w:tr>
          </w:tbl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t>Додаток до Рішення Зборів власників облігацій Товариства</w:t>
            </w:r>
          </w:p>
          <w:p w:rsidR="00D06FBC" w:rsidRDefault="008905B9">
            <w:pPr>
              <w:spacing w:before="240" w:after="240"/>
            </w:pPr>
            <w:r>
              <w:t>від ______________________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numPr>
                <w:ilvl w:val="0"/>
                <w:numId w:val="2"/>
              </w:numPr>
            </w:pPr>
            <w:r>
              <w:rPr>
                <w:b/>
              </w:rPr>
              <w:t xml:space="preserve">Викласти абзац </w:t>
            </w:r>
            <w:r>
              <w:rPr>
                <w:b/>
              </w:rPr>
              <w:t>четвертий пункту 11 розділу 2 проспекту емісії облігацій ТОВ «ВЕОН ПЛЮС» серії А «Умови та дата закінчення обігу облігацій» в наступній редакції:</w:t>
            </w:r>
          </w:p>
          <w:p w:rsidR="00D06FBC" w:rsidRDefault="008905B9">
            <w:pPr>
              <w:spacing w:before="240" w:after="240"/>
            </w:pPr>
            <w:r>
              <w:t>«Дата закінчення обігу облігацій серії А – «5» лютого 2028 року (включно).»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lastRenderedPageBreak/>
              <w:t>2. Викласти абзац 5 підпункту пе</w:t>
            </w:r>
            <w:r>
              <w:rPr>
                <w:b/>
              </w:rPr>
              <w:t>ршого пункту 12 розділу 2 проспекту емісії облігацій ТОВ «ВЕОН ПЛЮС» серії А «Інформація щодо викупу емітентом облігацій» в наступній редакції:</w:t>
            </w:r>
          </w:p>
          <w:p w:rsidR="00D06FBC" w:rsidRDefault="008905B9">
            <w:pPr>
              <w:spacing w:before="240" w:after="240"/>
            </w:pPr>
            <w:r>
              <w:t>«Повідомлення повинно бути засвідчене підписом уповноваженої особи та відбитком печатки (у разі її наявності). П</w:t>
            </w:r>
            <w:r>
              <w:t xml:space="preserve">одання повідомлення про викуп здійснюється за </w:t>
            </w:r>
            <w:proofErr w:type="spellStart"/>
            <w:r>
              <w:t>адресою</w:t>
            </w:r>
            <w:proofErr w:type="spellEnd"/>
            <w:r>
              <w:t xml:space="preserve"> Емітента: Україна, 04070, м. Київ, вул. Братська, 17-19 в терміни:</w:t>
            </w:r>
          </w:p>
          <w:tbl>
            <w:tblPr>
              <w:tblW w:w="0" w:type="auto"/>
              <w:tblCellSpacing w:w="15" w:type="dxa"/>
              <w:tblBorders>
                <w:insideH w:val="none" w:sz="0" w:space="0" w:color="000000"/>
                <w:insideV w:val="none" w:sz="0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773"/>
            </w:tblGrid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rPr>
                      <w:b/>
                    </w:rPr>
                    <w:t>Дата початку прийому повідомлень про викупу облігацій (включно)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rPr>
                      <w:b/>
                    </w:rPr>
                    <w:t>Дата закінчення прийому повідомлень про викуп облігацій (включно)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</w:t>
                  </w:r>
                  <w:r>
                    <w:t>2.2015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09.02.2015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04.05.2015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11.05.2015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03.08.2015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10.08.2015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02.11.2015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09.11.2015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01.02.2016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08.02.2016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02.05.2016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09.05.2016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01.08.2016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08.08.2016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31.10.2016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07.11.2016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30.01.2017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06.02.2017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01.05.2017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08.05.2017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31.07.2017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07.08.2017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30.10.2017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06.11.2017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29.01.2018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05.02.2018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30.04.2018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07.05.2018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30.07.2018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06.08.2018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29.10.2018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05.11.2018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28.01.2019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04.02.2019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29.04.2019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06.05.2019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29.07.2019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05.08.2019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28.10.2019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04.11.2019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27.01.2020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03.02.2020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27.04.2020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04.05.2020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27.07.2020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03.08.2020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26.10.2020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02.11.2020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lastRenderedPageBreak/>
                    <w:t>25.01.2021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01.02.2021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26.04.2021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03.05.2021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26.07.2021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02.08.2021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25.10.2021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01.11.2021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24.01.2022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31.01.2022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25.04.2022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02.05.2022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25.07.2022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01.08.2022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24.10.2022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31.10.2022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23.01.2023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30.01.2023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24.04.2023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01.05.2023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24.07.2023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31.07.2023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23.10.2023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30.10.2023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22.01.2024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29.01.2024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22.04.2024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29.04.2024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22.07.2024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29.07.2024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21.10.2024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28.10.2024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20.01.2025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27.01.2025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21.04.2025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28.04.2025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21.07.2025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28.07.2025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20.10.2025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27.10.2025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19.01.2026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26.01.2026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20.04.2026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27.04.2026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20.07.2026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27.07.2026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19.10.2026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26.10.2026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18.01.2027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25.01.2027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19.04.2027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26.04.2027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19.07.2027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26.07.2027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18.10.2027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25.10.2027</w:t>
                  </w:r>
                </w:p>
              </w:tc>
            </w:tr>
          </w:tbl>
          <w:p w:rsidR="00D06FBC" w:rsidRDefault="008905B9">
            <w:pPr>
              <w:spacing w:before="240" w:after="240"/>
            </w:pPr>
            <w:r>
              <w:rPr>
                <w:b/>
              </w:rPr>
              <w:t>.»</w:t>
            </w:r>
          </w:p>
          <w:p w:rsidR="00D06FBC" w:rsidRDefault="008905B9">
            <w:pPr>
              <w:spacing w:before="240" w:after="240"/>
            </w:pPr>
            <w:r>
              <w:lastRenderedPageBreak/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t>3. Викласти підпункт четвертий пункту 12 розділу 2 проспекту емісії</w:t>
            </w:r>
            <w:r>
              <w:rPr>
                <w:b/>
              </w:rPr>
              <w:t xml:space="preserve"> облігацій ТОВ «ВЕОН ПЛЮС» серії А «Інформація щодо викупу емітентом облігацій» в наступній редакції:</w:t>
            </w:r>
          </w:p>
          <w:p w:rsidR="00D06FBC" w:rsidRDefault="008905B9">
            <w:pPr>
              <w:spacing w:before="240" w:after="240"/>
            </w:pPr>
            <w:r>
              <w:t>«Емітент здійснює викуп облігацій серії А в такі строки:</w:t>
            </w:r>
          </w:p>
          <w:tbl>
            <w:tblPr>
              <w:tblW w:w="0" w:type="auto"/>
              <w:tblCellSpacing w:w="15" w:type="dxa"/>
              <w:tblBorders>
                <w:insideH w:val="none" w:sz="0" w:space="0" w:color="000000"/>
                <w:insideV w:val="none" w:sz="0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9"/>
            </w:tblGrid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rPr>
                      <w:b/>
                    </w:rPr>
                    <w:t>Дата викупу облігацій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16.02.2015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18.05.2015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17.08.2015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16.11.2015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15.02.2016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16.05.2016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15.08.2016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14.11.2016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13.02.2017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15.05.2017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14.08.2017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13.11.2017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12.02.2018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14.05.2018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13.08.2018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12.11.2018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11.02.2019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13.05.2019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12.08.2019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11.11.2019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10.02.2020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11.05.2020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10.08.2020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09.11.2020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08.02.2021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lastRenderedPageBreak/>
                    <w:t>10.05.2021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09.08.2021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08.11.2021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07.02.2022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09.05.2022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08.08.2022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07.11.2022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06.02.2023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08.05.2023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07.08.2023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06.11.2023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05.02.2024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06.05.2024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05.08.2024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04.11.2024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03.02.2025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05.05.2025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04.08.2025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03.11.2025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02.02.2026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04.05.2026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03.08.2026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02.11.2026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01.02.2027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03.05.2027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02.08.2027</w:t>
                  </w:r>
                </w:p>
              </w:tc>
            </w:tr>
            <w:tr w:rsidR="00D06FBC">
              <w:trPr>
                <w:tblCellSpacing w:w="15" w:type="dxa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06FBC" w:rsidRDefault="008905B9">
                  <w:r>
                    <w:t>01.11.2027</w:t>
                  </w:r>
                </w:p>
              </w:tc>
            </w:tr>
          </w:tbl>
          <w:p w:rsidR="00D06FBC" w:rsidRDefault="008905B9">
            <w:pPr>
              <w:spacing w:before="240" w:after="240"/>
            </w:pPr>
            <w:r>
              <w:t>.»</w:t>
            </w:r>
          </w:p>
          <w:p w:rsidR="00D06FBC" w:rsidRDefault="008905B9">
            <w:pPr>
              <w:spacing w:before="240" w:after="240"/>
            </w:pPr>
            <w:r>
              <w:t> </w:t>
            </w:r>
          </w:p>
          <w:p w:rsidR="00D06FBC" w:rsidRDefault="008905B9">
            <w:pPr>
              <w:spacing w:before="240" w:after="240"/>
            </w:pPr>
            <w:r>
              <w:rPr>
                <w:b/>
              </w:rPr>
              <w:lastRenderedPageBreak/>
              <w:t>4. Викласти підпункт перший пункту 14 розділу 2 проспекту емісії облігацій ТОВ «ВЕОН ПЛЮС» серії А «Порядок погашення облігацій» в наступній редакції:</w:t>
            </w:r>
          </w:p>
          <w:p w:rsidR="00D06FBC" w:rsidRDefault="008905B9">
            <w:pPr>
              <w:spacing w:before="240" w:after="240"/>
            </w:pPr>
            <w:r>
              <w:t xml:space="preserve">«Дата початку погашення облігацій серії А «06» </w:t>
            </w:r>
            <w:r>
              <w:t>лютого 2028 року (включно).</w:t>
            </w:r>
          </w:p>
          <w:p w:rsidR="00D06FBC" w:rsidRDefault="008905B9">
            <w:pPr>
              <w:spacing w:before="240" w:after="240"/>
            </w:pPr>
            <w:r>
              <w:t>Дата закінчення погашення облігацій серії А «10» лютого 2028 року (включно).»</w:t>
            </w:r>
          </w:p>
          <w:p w:rsidR="00D06FBC" w:rsidRPr="008905B9" w:rsidRDefault="00D06FB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06FBC">
        <w:tc>
          <w:tcPr>
            <w:tcW w:w="9629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  <w:t>Результати голосування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випуском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UA4000186035</w:t>
            </w: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Кількість голосів «ЗА»: 201 027 000, що складає 100,00%;</w:t>
            </w: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Кількість голосів «ПРОТИ»: 0, що складає</w:t>
            </w:r>
            <w:r>
              <w:rPr>
                <w:rFonts w:ascii="Times New Roman" w:hAnsi="Times New Roman"/>
                <w:sz w:val="24"/>
              </w:rPr>
              <w:t xml:space="preserve"> 0,00%;</w:t>
            </w:r>
          </w:p>
          <w:p w:rsidR="00D06FBC" w:rsidRDefault="00890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власників, що зареєструвалися, але не направили голоси: 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06FBC" w:rsidRDefault="008905B9">
            <w:pPr>
              <w:spacing w:before="240" w:after="240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Результат: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Прийнято</w:t>
            </w:r>
            <w:proofErr w:type="spellEnd"/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  <w:lang w:val="en-US"/>
        </w:rPr>
      </w:pPr>
    </w:p>
    <w:tbl>
      <w:tblPr>
        <w:tblStyle w:val="ac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4"/>
      </w:tblGrid>
      <w:tr w:rsidR="00D06FBC">
        <w:tc>
          <w:tcPr>
            <w:tcW w:w="9634" w:type="dxa"/>
          </w:tcPr>
          <w:p w:rsidR="00D06FBC" w:rsidRDefault="008905B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РІШЕННЯ ПРИЙНЯТО</w:t>
            </w:r>
          </w:p>
        </w:tc>
      </w:tr>
    </w:tbl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8905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Г</w:t>
      </w:r>
      <w:proofErr w:type="spellStart"/>
      <w:r>
        <w:rPr>
          <w:rFonts w:ascii="Times New Roman" w:hAnsi="Times New Roman"/>
          <w:sz w:val="24"/>
        </w:rPr>
        <w:t>олосування</w:t>
      </w:r>
      <w:proofErr w:type="spellEnd"/>
      <w:r>
        <w:rPr>
          <w:rFonts w:ascii="Times New Roman" w:hAnsi="Times New Roman"/>
          <w:sz w:val="24"/>
        </w:rPr>
        <w:t xml:space="preserve"> проводилось з усіх питань порядку денного.</w:t>
      </w: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8905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підписано кваліфікованим електронним підписом уповноваженої </w:t>
      </w:r>
      <w:r>
        <w:rPr>
          <w:rFonts w:ascii="Times New Roman" w:hAnsi="Times New Roman"/>
          <w:sz w:val="24"/>
        </w:rPr>
        <w:t>особи ПАТ «НДУ».</w:t>
      </w: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p w:rsidR="00D06FBC" w:rsidRDefault="00D06FBC">
      <w:pPr>
        <w:spacing w:after="0"/>
        <w:rPr>
          <w:rFonts w:ascii="Times New Roman" w:hAnsi="Times New Roman"/>
          <w:sz w:val="24"/>
        </w:rPr>
      </w:pPr>
    </w:p>
    <w:sectPr w:rsidR="00D06FBC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91AF"/>
    <w:multiLevelType w:val="hybridMultilevel"/>
    <w:tmpl w:val="0D361404"/>
    <w:lvl w:ilvl="0" w:tplc="1EF2B37E">
      <w:start w:val="1"/>
      <w:numFmt w:val="decimal"/>
      <w:lvlText w:val="%1."/>
      <w:lvlJc w:val="left"/>
      <w:pPr>
        <w:ind w:left="720" w:hanging="360"/>
      </w:pPr>
    </w:lvl>
    <w:lvl w:ilvl="1" w:tplc="1DD09690">
      <w:start w:val="1"/>
      <w:numFmt w:val="decimal"/>
      <w:lvlText w:val="%2."/>
      <w:lvlJc w:val="left"/>
      <w:pPr>
        <w:ind w:left="1440" w:hanging="360"/>
      </w:pPr>
    </w:lvl>
    <w:lvl w:ilvl="2" w:tplc="5661FF2B">
      <w:start w:val="1"/>
      <w:numFmt w:val="decimal"/>
      <w:lvlText w:val="%3."/>
      <w:lvlJc w:val="left"/>
      <w:pPr>
        <w:ind w:left="2160" w:hanging="360"/>
      </w:pPr>
    </w:lvl>
    <w:lvl w:ilvl="3" w:tplc="039E83AD">
      <w:start w:val="1"/>
      <w:numFmt w:val="decimal"/>
      <w:lvlText w:val="%4."/>
      <w:lvlJc w:val="left"/>
      <w:pPr>
        <w:ind w:left="2880" w:hanging="360"/>
      </w:pPr>
    </w:lvl>
    <w:lvl w:ilvl="4" w:tplc="3F88414F">
      <w:start w:val="1"/>
      <w:numFmt w:val="decimal"/>
      <w:lvlText w:val="%5."/>
      <w:lvlJc w:val="left"/>
      <w:pPr>
        <w:ind w:left="3600" w:hanging="360"/>
      </w:pPr>
    </w:lvl>
    <w:lvl w:ilvl="5" w:tplc="1A29882B">
      <w:start w:val="1"/>
      <w:numFmt w:val="decimal"/>
      <w:lvlText w:val="%6."/>
      <w:lvlJc w:val="left"/>
      <w:pPr>
        <w:ind w:left="4320" w:hanging="360"/>
      </w:pPr>
    </w:lvl>
    <w:lvl w:ilvl="6" w:tplc="5E3F6B6B">
      <w:start w:val="1"/>
      <w:numFmt w:val="decimal"/>
      <w:lvlText w:val="%7."/>
      <w:lvlJc w:val="left"/>
      <w:pPr>
        <w:ind w:left="5040" w:hanging="360"/>
      </w:pPr>
    </w:lvl>
    <w:lvl w:ilvl="7" w:tplc="2B595A47">
      <w:start w:val="1"/>
      <w:numFmt w:val="decimal"/>
      <w:lvlText w:val="%8."/>
      <w:lvlJc w:val="left"/>
      <w:pPr>
        <w:ind w:left="5760" w:hanging="360"/>
      </w:pPr>
    </w:lvl>
    <w:lvl w:ilvl="8" w:tplc="57F605C7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15E643E"/>
    <w:multiLevelType w:val="hybridMultilevel"/>
    <w:tmpl w:val="503C712C"/>
    <w:lvl w:ilvl="0" w:tplc="0A8DC8CC">
      <w:start w:val="1"/>
      <w:numFmt w:val="decimal"/>
      <w:lvlText w:val="%1."/>
      <w:lvlJc w:val="left"/>
      <w:pPr>
        <w:ind w:left="720" w:hanging="360"/>
      </w:pPr>
    </w:lvl>
    <w:lvl w:ilvl="1" w:tplc="49D9653E">
      <w:start w:val="1"/>
      <w:numFmt w:val="decimal"/>
      <w:lvlText w:val="%2."/>
      <w:lvlJc w:val="left"/>
      <w:pPr>
        <w:ind w:left="1440" w:hanging="360"/>
      </w:pPr>
    </w:lvl>
    <w:lvl w:ilvl="2" w:tplc="60E08A50">
      <w:start w:val="1"/>
      <w:numFmt w:val="decimal"/>
      <w:lvlText w:val="%3."/>
      <w:lvlJc w:val="left"/>
      <w:pPr>
        <w:ind w:left="2160" w:hanging="360"/>
      </w:pPr>
    </w:lvl>
    <w:lvl w:ilvl="3" w:tplc="7CD7C61E">
      <w:start w:val="1"/>
      <w:numFmt w:val="decimal"/>
      <w:lvlText w:val="%4."/>
      <w:lvlJc w:val="left"/>
      <w:pPr>
        <w:ind w:left="2880" w:hanging="360"/>
      </w:pPr>
    </w:lvl>
    <w:lvl w:ilvl="4" w:tplc="1A240AE6">
      <w:start w:val="1"/>
      <w:numFmt w:val="decimal"/>
      <w:lvlText w:val="%5."/>
      <w:lvlJc w:val="left"/>
      <w:pPr>
        <w:ind w:left="3600" w:hanging="360"/>
      </w:pPr>
    </w:lvl>
    <w:lvl w:ilvl="5" w:tplc="040ADC4B">
      <w:start w:val="1"/>
      <w:numFmt w:val="decimal"/>
      <w:lvlText w:val="%6."/>
      <w:lvlJc w:val="left"/>
      <w:pPr>
        <w:ind w:left="4320" w:hanging="360"/>
      </w:pPr>
    </w:lvl>
    <w:lvl w:ilvl="6" w:tplc="409E31D7">
      <w:start w:val="1"/>
      <w:numFmt w:val="decimal"/>
      <w:lvlText w:val="%7."/>
      <w:lvlJc w:val="left"/>
      <w:pPr>
        <w:ind w:left="5040" w:hanging="360"/>
      </w:pPr>
    </w:lvl>
    <w:lvl w:ilvl="7" w:tplc="58E24A2C">
      <w:start w:val="1"/>
      <w:numFmt w:val="decimal"/>
      <w:lvlText w:val="%8."/>
      <w:lvlJc w:val="left"/>
      <w:pPr>
        <w:ind w:left="5760" w:hanging="360"/>
      </w:pPr>
    </w:lvl>
    <w:lvl w:ilvl="8" w:tplc="4A9B865F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C"/>
    <w:rsid w:val="008905B9"/>
    <w:rsid w:val="00D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1BDA-8392-4597-A686-908460FC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2E74B5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spacing w:line="240" w:lineRule="auto"/>
    </w:pPr>
    <w:rPr>
      <w:sz w:val="20"/>
    </w:rPr>
  </w:style>
  <w:style w:type="paragraph" w:styleId="a5">
    <w:name w:val="annotation subject"/>
    <w:basedOn w:val="a3"/>
    <w:next w:val="a3"/>
    <w:link w:val="a6"/>
    <w:semiHidden/>
    <w:rPr>
      <w:b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basedOn w:val="a0"/>
    <w:semiHidden/>
    <w:rPr>
      <w:sz w:val="16"/>
    </w:rPr>
  </w:style>
  <w:style w:type="character" w:customStyle="1" w:styleId="a4">
    <w:name w:val="Текст примечания Знак"/>
    <w:basedOn w:val="a0"/>
    <w:link w:val="a3"/>
    <w:semiHidden/>
    <w:rPr>
      <w:sz w:val="20"/>
    </w:rPr>
  </w:style>
  <w:style w:type="character" w:customStyle="1" w:styleId="a6">
    <w:name w:val="Тема примечания Знак"/>
    <w:basedOn w:val="a4"/>
    <w:link w:val="a5"/>
    <w:semiHidden/>
    <w:rPr>
      <w:b/>
      <w:sz w:val="20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10">
    <w:name w:val="Заголовок 1 Знак"/>
    <w:basedOn w:val="a0"/>
    <w:link w:val="1"/>
    <w:rPr>
      <w:color w:val="2E74B5" w:themeColor="accent1" w:themeShade="BF"/>
      <w:sz w:val="32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5517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NDU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Panchugin Dmytro</dc:creator>
  <cp:lastModifiedBy>Юлія Чураченко</cp:lastModifiedBy>
  <cp:revision>2</cp:revision>
  <dcterms:created xsi:type="dcterms:W3CDTF">2023-01-06T14:11:00Z</dcterms:created>
  <dcterms:modified xsi:type="dcterms:W3CDTF">2023-01-06T14:11:00Z</dcterms:modified>
</cp:coreProperties>
</file>